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3292A" w14:textId="77777777" w:rsidR="00E82530" w:rsidRPr="00E46BBF" w:rsidRDefault="00E82530" w:rsidP="00E82530">
      <w:pPr>
        <w:shd w:val="clear" w:color="auto" w:fill="D9E2F3" w:themeFill="accent1" w:themeFillTint="33"/>
        <w:rPr>
          <w:b/>
        </w:rPr>
      </w:pPr>
      <w:r w:rsidRPr="00E46BBF">
        <w:rPr>
          <w:b/>
        </w:rPr>
        <w:t xml:space="preserve">Publicaciones de los usuarios con mención </w:t>
      </w:r>
      <w:r>
        <w:rPr>
          <w:b/>
        </w:rPr>
        <w:t>al Biobanco IVO</w:t>
      </w:r>
    </w:p>
    <w:p w14:paraId="491F012E" w14:textId="77777777" w:rsidR="00E82530" w:rsidRPr="00E46BBF" w:rsidRDefault="00E82530" w:rsidP="00E82530"/>
    <w:tbl>
      <w:tblPr>
        <w:tblStyle w:val="Tablaconcuadrcula"/>
        <w:tblW w:w="12753" w:type="dxa"/>
        <w:tblLayout w:type="fixed"/>
        <w:tblLook w:val="04A0" w:firstRow="1" w:lastRow="0" w:firstColumn="1" w:lastColumn="0" w:noHBand="0" w:noVBand="1"/>
      </w:tblPr>
      <w:tblGrid>
        <w:gridCol w:w="6516"/>
        <w:gridCol w:w="1984"/>
        <w:gridCol w:w="709"/>
        <w:gridCol w:w="2268"/>
        <w:gridCol w:w="1276"/>
      </w:tblGrid>
      <w:tr w:rsidR="00E82530" w:rsidRPr="00E82530" w14:paraId="6AB04C11" w14:textId="77777777" w:rsidTr="004D4F78">
        <w:trPr>
          <w:cantSplit/>
        </w:trPr>
        <w:tc>
          <w:tcPr>
            <w:tcW w:w="6516" w:type="dxa"/>
            <w:shd w:val="clear" w:color="auto" w:fill="D9E2F3" w:themeFill="accent1" w:themeFillTint="33"/>
          </w:tcPr>
          <w:p w14:paraId="457D2225" w14:textId="77777777" w:rsidR="00E82530" w:rsidRPr="00E82530" w:rsidRDefault="00E82530" w:rsidP="004D4F78">
            <w:pPr>
              <w:rPr>
                <w:b/>
                <w:sz w:val="20"/>
                <w:szCs w:val="20"/>
              </w:rPr>
            </w:pPr>
            <w:bookmarkStart w:id="0" w:name="_GoBack" w:colFirst="4" w:colLast="4"/>
            <w:r w:rsidRPr="00E82530">
              <w:rPr>
                <w:b/>
                <w:sz w:val="20"/>
                <w:szCs w:val="20"/>
              </w:rPr>
              <w:t>Autores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6C93B683" w14:textId="77777777" w:rsidR="00E82530" w:rsidRPr="00E82530" w:rsidRDefault="00E82530" w:rsidP="004D4F78">
            <w:pPr>
              <w:rPr>
                <w:b/>
                <w:sz w:val="20"/>
                <w:szCs w:val="20"/>
              </w:rPr>
            </w:pPr>
            <w:r w:rsidRPr="00E82530">
              <w:rPr>
                <w:b/>
                <w:sz w:val="20"/>
                <w:szCs w:val="20"/>
              </w:rPr>
              <w:t>Título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79CDADF5" w14:textId="77777777" w:rsidR="00E82530" w:rsidRPr="00E82530" w:rsidRDefault="00E82530" w:rsidP="004D4F78">
            <w:pPr>
              <w:rPr>
                <w:b/>
                <w:sz w:val="20"/>
                <w:szCs w:val="20"/>
              </w:rPr>
            </w:pPr>
            <w:r w:rsidRPr="00E82530">
              <w:rPr>
                <w:b/>
                <w:sz w:val="20"/>
                <w:szCs w:val="20"/>
              </w:rPr>
              <w:t>Año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62977F45" w14:textId="77777777" w:rsidR="00E82530" w:rsidRPr="00E82530" w:rsidRDefault="00E82530" w:rsidP="004D4F78">
            <w:pPr>
              <w:rPr>
                <w:b/>
                <w:sz w:val="20"/>
                <w:szCs w:val="20"/>
              </w:rPr>
            </w:pPr>
            <w:r w:rsidRPr="00E82530">
              <w:rPr>
                <w:b/>
                <w:sz w:val="20"/>
                <w:szCs w:val="20"/>
              </w:rPr>
              <w:t>Revista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68FA703A" w14:textId="77777777" w:rsidR="00E82530" w:rsidRPr="00E82530" w:rsidRDefault="00E82530" w:rsidP="00F1037E">
            <w:pPr>
              <w:jc w:val="both"/>
              <w:rPr>
                <w:b/>
                <w:sz w:val="20"/>
                <w:szCs w:val="20"/>
              </w:rPr>
            </w:pPr>
            <w:r w:rsidRPr="00E82530">
              <w:rPr>
                <w:b/>
                <w:sz w:val="20"/>
                <w:szCs w:val="20"/>
              </w:rPr>
              <w:t>IF</w:t>
            </w:r>
          </w:p>
        </w:tc>
      </w:tr>
      <w:tr w:rsidR="00E82530" w:rsidRPr="00E82530" w14:paraId="2782FC5F" w14:textId="77777777" w:rsidTr="004D4F78">
        <w:trPr>
          <w:cantSplit/>
          <w:trHeight w:val="1027"/>
        </w:trPr>
        <w:tc>
          <w:tcPr>
            <w:tcW w:w="6516" w:type="dxa"/>
          </w:tcPr>
          <w:p w14:paraId="086310B4" w14:textId="77777777" w:rsidR="00E82530" w:rsidRPr="00E82530" w:rsidRDefault="00E82530" w:rsidP="004D4F78">
            <w:pPr>
              <w:rPr>
                <w:sz w:val="20"/>
                <w:szCs w:val="20"/>
              </w:rPr>
            </w:pPr>
            <w:r w:rsidRPr="00E82530">
              <w:rPr>
                <w:sz w:val="20"/>
                <w:szCs w:val="20"/>
              </w:rPr>
              <w:t xml:space="preserve">García Flores M, Casanova Salas I, Rubio Briones J, Calatrava A, Domínguez </w:t>
            </w:r>
            <w:proofErr w:type="spellStart"/>
            <w:r w:rsidRPr="00E82530">
              <w:rPr>
                <w:sz w:val="20"/>
                <w:szCs w:val="20"/>
              </w:rPr>
              <w:t>Escrig</w:t>
            </w:r>
            <w:proofErr w:type="spellEnd"/>
            <w:r w:rsidRPr="00E82530">
              <w:rPr>
                <w:sz w:val="20"/>
                <w:szCs w:val="20"/>
              </w:rPr>
              <w:t xml:space="preserve"> J, Rubio L, Ramírez </w:t>
            </w:r>
            <w:proofErr w:type="spellStart"/>
            <w:r w:rsidRPr="00E82530">
              <w:rPr>
                <w:sz w:val="20"/>
                <w:szCs w:val="20"/>
              </w:rPr>
              <w:t>Backhaus</w:t>
            </w:r>
            <w:proofErr w:type="spellEnd"/>
            <w:r w:rsidRPr="00E82530">
              <w:rPr>
                <w:sz w:val="20"/>
                <w:szCs w:val="20"/>
              </w:rPr>
              <w:t xml:space="preserve"> M, </w:t>
            </w:r>
            <w:proofErr w:type="gramStart"/>
            <w:r w:rsidRPr="00E82530">
              <w:rPr>
                <w:sz w:val="20"/>
                <w:szCs w:val="20"/>
              </w:rPr>
              <w:t>Fernández  Serra</w:t>
            </w:r>
            <w:proofErr w:type="gramEnd"/>
            <w:r w:rsidRPr="00E82530">
              <w:rPr>
                <w:sz w:val="20"/>
                <w:szCs w:val="20"/>
              </w:rPr>
              <w:t xml:space="preserve"> A, García Casado Z, López  Guerrero JA,</w:t>
            </w:r>
          </w:p>
        </w:tc>
        <w:tc>
          <w:tcPr>
            <w:tcW w:w="1984" w:type="dxa"/>
          </w:tcPr>
          <w:p w14:paraId="5B848BC7" w14:textId="77777777" w:rsidR="00E82530" w:rsidRPr="00E82530" w:rsidRDefault="00E82530" w:rsidP="004D4F78">
            <w:pPr>
              <w:rPr>
                <w:sz w:val="20"/>
                <w:szCs w:val="20"/>
                <w:lang w:val="en-US"/>
              </w:rPr>
            </w:pPr>
            <w:proofErr w:type="spellStart"/>
            <w:r w:rsidRPr="00E82530">
              <w:rPr>
                <w:sz w:val="20"/>
                <w:szCs w:val="20"/>
                <w:lang w:val="en-US"/>
              </w:rPr>
              <w:t>Clínico</w:t>
            </w:r>
            <w:proofErr w:type="spellEnd"/>
            <w:r w:rsidRPr="00E82530">
              <w:rPr>
                <w:sz w:val="20"/>
                <w:szCs w:val="20"/>
                <w:lang w:val="en-US"/>
              </w:rPr>
              <w:t>- pathological significance of the molecular alterations of the SPOP gene in prostate cancer</w:t>
            </w:r>
          </w:p>
        </w:tc>
        <w:tc>
          <w:tcPr>
            <w:tcW w:w="709" w:type="dxa"/>
          </w:tcPr>
          <w:p w14:paraId="06F32897" w14:textId="77777777" w:rsidR="00E82530" w:rsidRPr="00E82530" w:rsidRDefault="00E82530" w:rsidP="004D4F78">
            <w:pPr>
              <w:rPr>
                <w:sz w:val="20"/>
                <w:szCs w:val="20"/>
                <w:lang w:val="en-US"/>
              </w:rPr>
            </w:pPr>
            <w:r w:rsidRPr="00E82530">
              <w:rPr>
                <w:sz w:val="20"/>
                <w:szCs w:val="20"/>
                <w:lang w:val="en-US"/>
              </w:rPr>
              <w:t>2014</w:t>
            </w:r>
          </w:p>
        </w:tc>
        <w:tc>
          <w:tcPr>
            <w:tcW w:w="2268" w:type="dxa"/>
          </w:tcPr>
          <w:p w14:paraId="3968CD6C" w14:textId="77777777" w:rsidR="00E82530" w:rsidRPr="00E82530" w:rsidRDefault="00E82530" w:rsidP="004D4F78">
            <w:pPr>
              <w:rPr>
                <w:sz w:val="20"/>
                <w:szCs w:val="20"/>
                <w:lang w:val="en-US"/>
              </w:rPr>
            </w:pPr>
            <w:proofErr w:type="spellStart"/>
            <w:r w:rsidRPr="00E82530">
              <w:rPr>
                <w:sz w:val="20"/>
                <w:szCs w:val="20"/>
              </w:rPr>
              <w:t>Eur</w:t>
            </w:r>
            <w:proofErr w:type="spellEnd"/>
            <w:r w:rsidRPr="00E82530">
              <w:rPr>
                <w:sz w:val="20"/>
                <w:szCs w:val="20"/>
              </w:rPr>
              <w:t xml:space="preserve"> J </w:t>
            </w:r>
            <w:proofErr w:type="spellStart"/>
            <w:r w:rsidRPr="00E82530">
              <w:rPr>
                <w:sz w:val="20"/>
                <w:szCs w:val="20"/>
              </w:rPr>
              <w:t>Cancer</w:t>
            </w:r>
            <w:proofErr w:type="spellEnd"/>
          </w:p>
        </w:tc>
        <w:tc>
          <w:tcPr>
            <w:tcW w:w="1276" w:type="dxa"/>
          </w:tcPr>
          <w:p w14:paraId="049D744A" w14:textId="77777777" w:rsidR="00E82530" w:rsidRPr="00E82530" w:rsidRDefault="00E82530" w:rsidP="00F1037E">
            <w:pPr>
              <w:jc w:val="both"/>
              <w:rPr>
                <w:sz w:val="20"/>
                <w:szCs w:val="20"/>
                <w:lang w:val="en-US"/>
              </w:rPr>
            </w:pPr>
            <w:r w:rsidRPr="00E82530">
              <w:rPr>
                <w:sz w:val="20"/>
                <w:szCs w:val="20"/>
                <w:lang w:val="en-US"/>
              </w:rPr>
              <w:t>4.819</w:t>
            </w:r>
          </w:p>
        </w:tc>
      </w:tr>
      <w:tr w:rsidR="00E82530" w:rsidRPr="00E82530" w14:paraId="773B6C1D" w14:textId="77777777" w:rsidTr="004D4F78">
        <w:trPr>
          <w:cantSplit/>
          <w:trHeight w:val="1027"/>
        </w:trPr>
        <w:tc>
          <w:tcPr>
            <w:tcW w:w="6516" w:type="dxa"/>
          </w:tcPr>
          <w:p w14:paraId="671898E8" w14:textId="77777777" w:rsidR="00E82530" w:rsidRPr="00E82530" w:rsidRDefault="00E82530" w:rsidP="004D4F78">
            <w:pPr>
              <w:autoSpaceDE w:val="0"/>
              <w:autoSpaceDN w:val="0"/>
              <w:adjustRightInd w:val="0"/>
              <w:rPr>
                <w:rFonts w:cs="Cambria"/>
                <w:sz w:val="20"/>
                <w:szCs w:val="20"/>
              </w:rPr>
            </w:pPr>
            <w:r w:rsidRPr="00E82530">
              <w:rPr>
                <w:rFonts w:cs="Cambria"/>
                <w:sz w:val="20"/>
                <w:szCs w:val="20"/>
              </w:rPr>
              <w:t xml:space="preserve">Casanova‐Salas I, Rubio‐Briones J, Calatrava A,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Mancarella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C,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Masiá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E, Casanova J,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Fernandez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‐Serra A, Rubio L,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Ramirez‐Backhaus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M, Armiñán A,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Dominguez‐Escrig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J, Martínez F,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Garcia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‐Casado Z,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Scotlandi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K,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Vicent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MJ,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Lopez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>‐Guerrero JA</w:t>
            </w:r>
          </w:p>
        </w:tc>
        <w:tc>
          <w:tcPr>
            <w:tcW w:w="1984" w:type="dxa"/>
          </w:tcPr>
          <w:p w14:paraId="35AEF8AA" w14:textId="77777777" w:rsidR="00E82530" w:rsidRPr="00E82530" w:rsidRDefault="00E82530" w:rsidP="004D4F78">
            <w:pPr>
              <w:autoSpaceDE w:val="0"/>
              <w:autoSpaceDN w:val="0"/>
              <w:adjustRightInd w:val="0"/>
              <w:rPr>
                <w:rFonts w:cs="Cambria"/>
                <w:sz w:val="20"/>
                <w:szCs w:val="20"/>
                <w:lang w:val="en-US"/>
              </w:rPr>
            </w:pPr>
            <w:r w:rsidRPr="00E82530">
              <w:rPr>
                <w:rFonts w:cs="Cambria"/>
                <w:sz w:val="20"/>
                <w:szCs w:val="20"/>
                <w:lang w:val="en-US"/>
              </w:rPr>
              <w:t>Identification of miR‐187 and miR‐182 as Biomarkers of Early Diagnosis and Prognosis in Patients with Prostate Cancer Treated with Radical Prostatectomy</w:t>
            </w:r>
          </w:p>
        </w:tc>
        <w:tc>
          <w:tcPr>
            <w:tcW w:w="709" w:type="dxa"/>
          </w:tcPr>
          <w:p w14:paraId="14865951" w14:textId="77777777" w:rsidR="00E82530" w:rsidRPr="00E82530" w:rsidRDefault="00E82530" w:rsidP="004D4F78">
            <w:pPr>
              <w:rPr>
                <w:sz w:val="20"/>
                <w:szCs w:val="20"/>
                <w:lang w:val="en-US"/>
              </w:rPr>
            </w:pPr>
            <w:r w:rsidRPr="00E82530">
              <w:rPr>
                <w:sz w:val="20"/>
                <w:szCs w:val="20"/>
                <w:lang w:val="en-US"/>
              </w:rPr>
              <w:t>2014</w:t>
            </w:r>
          </w:p>
        </w:tc>
        <w:tc>
          <w:tcPr>
            <w:tcW w:w="2268" w:type="dxa"/>
          </w:tcPr>
          <w:p w14:paraId="011D3DD0" w14:textId="77777777" w:rsidR="00E82530" w:rsidRPr="00E82530" w:rsidRDefault="00E82530" w:rsidP="004D4F78">
            <w:pPr>
              <w:rPr>
                <w:sz w:val="20"/>
                <w:szCs w:val="20"/>
                <w:lang w:val="en-US"/>
              </w:rPr>
            </w:pPr>
            <w:r w:rsidRPr="00E82530">
              <w:rPr>
                <w:sz w:val="20"/>
                <w:szCs w:val="20"/>
                <w:lang w:val="en-US"/>
              </w:rPr>
              <w:t>J urology</w:t>
            </w:r>
          </w:p>
        </w:tc>
        <w:tc>
          <w:tcPr>
            <w:tcW w:w="1276" w:type="dxa"/>
          </w:tcPr>
          <w:p w14:paraId="59D90FAE" w14:textId="77777777" w:rsidR="00E82530" w:rsidRPr="00E82530" w:rsidRDefault="00E82530" w:rsidP="00F1037E">
            <w:pPr>
              <w:jc w:val="both"/>
              <w:rPr>
                <w:sz w:val="20"/>
                <w:szCs w:val="20"/>
                <w:lang w:val="en-US"/>
              </w:rPr>
            </w:pPr>
            <w:r w:rsidRPr="00E82530">
              <w:rPr>
                <w:sz w:val="20"/>
                <w:szCs w:val="20"/>
                <w:lang w:val="en-US"/>
              </w:rPr>
              <w:t>4.70</w:t>
            </w:r>
          </w:p>
        </w:tc>
      </w:tr>
      <w:tr w:rsidR="00E82530" w:rsidRPr="00E82530" w14:paraId="7E95CF11" w14:textId="77777777" w:rsidTr="004D4F78">
        <w:trPr>
          <w:cantSplit/>
          <w:trHeight w:val="1027"/>
        </w:trPr>
        <w:tc>
          <w:tcPr>
            <w:tcW w:w="6516" w:type="dxa"/>
          </w:tcPr>
          <w:p w14:paraId="3DAF7B0A" w14:textId="77777777" w:rsidR="00E82530" w:rsidRPr="00E82530" w:rsidRDefault="00E82530" w:rsidP="004D4F78">
            <w:pPr>
              <w:autoSpaceDE w:val="0"/>
              <w:autoSpaceDN w:val="0"/>
              <w:adjustRightInd w:val="0"/>
              <w:rPr>
                <w:rFonts w:cs="Cambria"/>
                <w:sz w:val="20"/>
                <w:szCs w:val="20"/>
              </w:rPr>
            </w:pPr>
            <w:proofErr w:type="spellStart"/>
            <w:r w:rsidRPr="00E82530">
              <w:rPr>
                <w:rFonts w:cs="Cambria"/>
                <w:sz w:val="20"/>
                <w:szCs w:val="20"/>
              </w:rPr>
              <w:lastRenderedPageBreak/>
              <w:t>Shi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J, Yang XR,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Ballew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B,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Rotunno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M,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Calista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D,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Fargnoli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MC,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Ghiorzo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P,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Bressac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‐de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Paillerets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B, Nagore E,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Avril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MF,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Caporaso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NE,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McMaster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ML,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Cullen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M, Wang Z, Zhang X; NCI DCEG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Cancer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Sequencing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Working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Group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; NCI DCEG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Cancer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Genomics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Research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Laboratory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; French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Familial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Melanoma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Study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Group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, Bruno W,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Pastorino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L,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Queirolo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P,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Banuls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‐Roca J,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Garcia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‐Casado Z,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Vaysse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A,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Mohamdi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H,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Riazalhosseini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Y,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Foglio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M,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Jouenne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F,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Hua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X,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Hyland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PL, Yin J,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Vallabhaneni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H, Chai W,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Minghetti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P, Pellegrini C,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Ravichandran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S,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Eggermont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A,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Lathrop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M, Peris K,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Scarra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GB,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Landi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G,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Savage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SA,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Sampson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JN, He J,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Yeager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M,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Goldin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LR,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Demenais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F,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Chanock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SJ, Tucker MA,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Goldstein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AM,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Liu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Y,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Landi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MT.</w:t>
            </w:r>
          </w:p>
        </w:tc>
        <w:tc>
          <w:tcPr>
            <w:tcW w:w="1984" w:type="dxa"/>
          </w:tcPr>
          <w:p w14:paraId="100FF4B2" w14:textId="77777777" w:rsidR="00E82530" w:rsidRPr="00E82530" w:rsidRDefault="00E82530" w:rsidP="004D4F78">
            <w:pPr>
              <w:autoSpaceDE w:val="0"/>
              <w:autoSpaceDN w:val="0"/>
              <w:adjustRightInd w:val="0"/>
              <w:rPr>
                <w:rFonts w:cs="Cambria"/>
                <w:sz w:val="20"/>
                <w:szCs w:val="20"/>
                <w:lang w:val="en-US"/>
              </w:rPr>
            </w:pPr>
            <w:r w:rsidRPr="00E82530">
              <w:rPr>
                <w:rFonts w:cs="Cambria"/>
                <w:sz w:val="20"/>
                <w:szCs w:val="20"/>
                <w:lang w:val="en-US"/>
              </w:rPr>
              <w:t>Rare missense variants in POT1 predispose to familial cutaneous malignant melanoma.</w:t>
            </w:r>
          </w:p>
        </w:tc>
        <w:tc>
          <w:tcPr>
            <w:tcW w:w="709" w:type="dxa"/>
          </w:tcPr>
          <w:p w14:paraId="4F2AFDC5" w14:textId="77777777" w:rsidR="00E82530" w:rsidRPr="00E82530" w:rsidRDefault="00E82530" w:rsidP="004D4F78">
            <w:pPr>
              <w:rPr>
                <w:sz w:val="20"/>
                <w:szCs w:val="20"/>
                <w:lang w:val="en-US"/>
              </w:rPr>
            </w:pPr>
            <w:r w:rsidRPr="00E82530">
              <w:rPr>
                <w:sz w:val="20"/>
                <w:szCs w:val="20"/>
                <w:lang w:val="en-US"/>
              </w:rPr>
              <w:t>2014</w:t>
            </w:r>
          </w:p>
        </w:tc>
        <w:tc>
          <w:tcPr>
            <w:tcW w:w="2268" w:type="dxa"/>
          </w:tcPr>
          <w:p w14:paraId="3F5655BE" w14:textId="77777777" w:rsidR="00E82530" w:rsidRPr="00E82530" w:rsidRDefault="00E82530" w:rsidP="004D4F78">
            <w:pPr>
              <w:rPr>
                <w:sz w:val="20"/>
                <w:szCs w:val="20"/>
                <w:lang w:val="en-US"/>
              </w:rPr>
            </w:pPr>
            <w:proofErr w:type="spellStart"/>
            <w:r w:rsidRPr="00E82530">
              <w:rPr>
                <w:rFonts w:cs="Cambria"/>
                <w:sz w:val="20"/>
                <w:szCs w:val="20"/>
              </w:rPr>
              <w:t>Nat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Genet</w:t>
            </w:r>
            <w:proofErr w:type="spellEnd"/>
          </w:p>
        </w:tc>
        <w:tc>
          <w:tcPr>
            <w:tcW w:w="1276" w:type="dxa"/>
          </w:tcPr>
          <w:p w14:paraId="6E24386E" w14:textId="77777777" w:rsidR="00E82530" w:rsidRPr="00E82530" w:rsidRDefault="00E82530" w:rsidP="00F1037E">
            <w:pPr>
              <w:jc w:val="both"/>
              <w:rPr>
                <w:sz w:val="20"/>
                <w:szCs w:val="20"/>
                <w:lang w:val="en-US"/>
              </w:rPr>
            </w:pPr>
            <w:r w:rsidRPr="00E82530">
              <w:rPr>
                <w:sz w:val="20"/>
                <w:szCs w:val="20"/>
                <w:lang w:val="en-US"/>
              </w:rPr>
              <w:t>29.352</w:t>
            </w:r>
          </w:p>
        </w:tc>
      </w:tr>
      <w:tr w:rsidR="00E82530" w:rsidRPr="00E82530" w14:paraId="142CF01F" w14:textId="77777777" w:rsidTr="004D4F78">
        <w:trPr>
          <w:cantSplit/>
          <w:trHeight w:val="1027"/>
        </w:trPr>
        <w:tc>
          <w:tcPr>
            <w:tcW w:w="6516" w:type="dxa"/>
          </w:tcPr>
          <w:p w14:paraId="5435A9CC" w14:textId="77777777" w:rsidR="00E82530" w:rsidRPr="00E82530" w:rsidRDefault="00E82530" w:rsidP="004D4F78">
            <w:pPr>
              <w:autoSpaceDE w:val="0"/>
              <w:autoSpaceDN w:val="0"/>
              <w:adjustRightInd w:val="0"/>
              <w:rPr>
                <w:rFonts w:cs="Cambria"/>
                <w:sz w:val="20"/>
                <w:szCs w:val="20"/>
              </w:rPr>
            </w:pPr>
            <w:proofErr w:type="spellStart"/>
            <w:r w:rsidRPr="00E82530">
              <w:rPr>
                <w:rFonts w:cs="Cambria"/>
                <w:sz w:val="20"/>
                <w:szCs w:val="20"/>
              </w:rPr>
              <w:t>Heidenreich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B, Nagore E,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Rachakonda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PS,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Garcia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‐Casado Z, Requena C,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Traves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V, Becker J,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Soufir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N,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Hemminki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K,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Kumar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R.</w:t>
            </w:r>
          </w:p>
        </w:tc>
        <w:tc>
          <w:tcPr>
            <w:tcW w:w="1984" w:type="dxa"/>
          </w:tcPr>
          <w:p w14:paraId="29BFE33C" w14:textId="77777777" w:rsidR="00E82530" w:rsidRPr="00E82530" w:rsidRDefault="00E82530" w:rsidP="004D4F78">
            <w:pPr>
              <w:autoSpaceDE w:val="0"/>
              <w:autoSpaceDN w:val="0"/>
              <w:adjustRightInd w:val="0"/>
              <w:rPr>
                <w:rFonts w:cs="Cambria"/>
                <w:sz w:val="20"/>
                <w:szCs w:val="20"/>
                <w:lang w:val="en-US"/>
              </w:rPr>
            </w:pPr>
            <w:r w:rsidRPr="00E82530">
              <w:rPr>
                <w:rFonts w:cs="Cambria"/>
                <w:sz w:val="20"/>
                <w:szCs w:val="20"/>
                <w:lang w:val="en-US"/>
              </w:rPr>
              <w:t>Telomerase reverse transcriptase promoter mutations in primary cutaneous melanoma.</w:t>
            </w:r>
          </w:p>
        </w:tc>
        <w:tc>
          <w:tcPr>
            <w:tcW w:w="709" w:type="dxa"/>
          </w:tcPr>
          <w:p w14:paraId="417D2C65" w14:textId="77777777" w:rsidR="00E82530" w:rsidRPr="00E82530" w:rsidRDefault="00E82530" w:rsidP="004D4F78">
            <w:pPr>
              <w:rPr>
                <w:sz w:val="20"/>
                <w:szCs w:val="20"/>
                <w:lang w:val="en-US"/>
              </w:rPr>
            </w:pPr>
            <w:r w:rsidRPr="00E82530">
              <w:rPr>
                <w:sz w:val="20"/>
                <w:szCs w:val="20"/>
                <w:lang w:val="en-US"/>
              </w:rPr>
              <w:t>2014</w:t>
            </w:r>
          </w:p>
        </w:tc>
        <w:tc>
          <w:tcPr>
            <w:tcW w:w="2268" w:type="dxa"/>
          </w:tcPr>
          <w:p w14:paraId="7A1CEFFC" w14:textId="77777777" w:rsidR="00E82530" w:rsidRPr="00E82530" w:rsidRDefault="00E82530" w:rsidP="004D4F78">
            <w:pPr>
              <w:rPr>
                <w:rFonts w:cs="Cambria"/>
                <w:sz w:val="20"/>
                <w:szCs w:val="20"/>
                <w:lang w:val="en-US"/>
              </w:rPr>
            </w:pPr>
            <w:proofErr w:type="spellStart"/>
            <w:r w:rsidRPr="00E82530">
              <w:rPr>
                <w:rFonts w:cs="Cambria"/>
                <w:sz w:val="20"/>
                <w:szCs w:val="20"/>
              </w:rPr>
              <w:t>Nat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Commun</w:t>
            </w:r>
            <w:proofErr w:type="spellEnd"/>
          </w:p>
        </w:tc>
        <w:tc>
          <w:tcPr>
            <w:tcW w:w="1276" w:type="dxa"/>
          </w:tcPr>
          <w:p w14:paraId="432F99D2" w14:textId="77777777" w:rsidR="00E82530" w:rsidRPr="00E82530" w:rsidRDefault="00E82530" w:rsidP="00F1037E">
            <w:pPr>
              <w:jc w:val="both"/>
              <w:rPr>
                <w:sz w:val="20"/>
                <w:szCs w:val="20"/>
                <w:lang w:val="en-US"/>
              </w:rPr>
            </w:pPr>
            <w:r w:rsidRPr="00E82530">
              <w:rPr>
                <w:sz w:val="20"/>
                <w:szCs w:val="20"/>
                <w:lang w:val="en-US"/>
              </w:rPr>
              <w:t>11.47</w:t>
            </w:r>
          </w:p>
        </w:tc>
      </w:tr>
      <w:tr w:rsidR="00E82530" w:rsidRPr="00E82530" w14:paraId="31DF7D01" w14:textId="77777777" w:rsidTr="004D4F78">
        <w:trPr>
          <w:cantSplit/>
          <w:trHeight w:val="1027"/>
        </w:trPr>
        <w:tc>
          <w:tcPr>
            <w:tcW w:w="6516" w:type="dxa"/>
          </w:tcPr>
          <w:p w14:paraId="1B049F25" w14:textId="77777777" w:rsidR="00E82530" w:rsidRPr="00E82530" w:rsidRDefault="00E82530" w:rsidP="004D4F78">
            <w:pPr>
              <w:autoSpaceDE w:val="0"/>
              <w:autoSpaceDN w:val="0"/>
              <w:adjustRightInd w:val="0"/>
              <w:rPr>
                <w:rFonts w:cs="Cambria"/>
                <w:sz w:val="20"/>
                <w:szCs w:val="20"/>
              </w:rPr>
            </w:pPr>
            <w:proofErr w:type="spellStart"/>
            <w:r w:rsidRPr="00E82530">
              <w:rPr>
                <w:rFonts w:cs="Cambria"/>
                <w:sz w:val="20"/>
                <w:szCs w:val="20"/>
              </w:rPr>
              <w:t>Stacey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SN,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Sulem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P,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Gudbjartsson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DF,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Jonasdottir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A,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Thorleifsson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G,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Gudjonsson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SA,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Masson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G,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Gudmundsson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J,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Sigurgeirsson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B,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Benediktsdottir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KR,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Thorisdottir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K,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Ragnarsson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R,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Fuentelsaz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V, Corredera C, Grasa M, Planelles D,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Sanmartin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O,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Rudnai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P,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Gurzau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E,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Koppova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K,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Hemminki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K,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Nexø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BA,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Tjønneland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A,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Overvad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K,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Johannsdottir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H,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Helgadottir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HT,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Thorsteinsdottir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U, Kong A,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Vogel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U,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Kumar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R, Nagore E, Mayordomo JI,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Rafnar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T,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Olafsson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JH,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Stefansson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K</w:t>
            </w:r>
          </w:p>
        </w:tc>
        <w:tc>
          <w:tcPr>
            <w:tcW w:w="1984" w:type="dxa"/>
          </w:tcPr>
          <w:p w14:paraId="1B5A05AB" w14:textId="77777777" w:rsidR="00E82530" w:rsidRPr="00E82530" w:rsidRDefault="00E82530" w:rsidP="004D4F78">
            <w:pPr>
              <w:autoSpaceDE w:val="0"/>
              <w:autoSpaceDN w:val="0"/>
              <w:adjustRightInd w:val="0"/>
              <w:rPr>
                <w:rFonts w:cs="Cambria"/>
                <w:sz w:val="20"/>
                <w:szCs w:val="20"/>
                <w:lang w:val="en-US"/>
              </w:rPr>
            </w:pPr>
            <w:r w:rsidRPr="00E82530">
              <w:rPr>
                <w:rFonts w:cs="Cambria"/>
                <w:sz w:val="20"/>
                <w:szCs w:val="20"/>
                <w:lang w:val="en-US"/>
              </w:rPr>
              <w:t>Germline sequence variants in TGM3 and RGS22 confer risk of basal cell carcinoma.</w:t>
            </w:r>
          </w:p>
        </w:tc>
        <w:tc>
          <w:tcPr>
            <w:tcW w:w="709" w:type="dxa"/>
          </w:tcPr>
          <w:p w14:paraId="67981F93" w14:textId="77777777" w:rsidR="00E82530" w:rsidRPr="00E82530" w:rsidRDefault="00E82530" w:rsidP="004D4F78">
            <w:pPr>
              <w:rPr>
                <w:sz w:val="20"/>
                <w:szCs w:val="20"/>
                <w:lang w:val="en-US"/>
              </w:rPr>
            </w:pPr>
            <w:r w:rsidRPr="00E82530">
              <w:rPr>
                <w:sz w:val="20"/>
                <w:szCs w:val="20"/>
                <w:lang w:val="en-US"/>
              </w:rPr>
              <w:t>2014</w:t>
            </w:r>
          </w:p>
        </w:tc>
        <w:tc>
          <w:tcPr>
            <w:tcW w:w="2268" w:type="dxa"/>
          </w:tcPr>
          <w:p w14:paraId="52003BEB" w14:textId="77777777" w:rsidR="00E82530" w:rsidRPr="00E82530" w:rsidRDefault="00E82530" w:rsidP="004D4F78">
            <w:pPr>
              <w:rPr>
                <w:rFonts w:cs="Cambria"/>
                <w:sz w:val="20"/>
                <w:szCs w:val="20"/>
                <w:lang w:val="en-US"/>
              </w:rPr>
            </w:pPr>
            <w:proofErr w:type="spellStart"/>
            <w:r w:rsidRPr="00E82530">
              <w:rPr>
                <w:rFonts w:cs="Cambria"/>
                <w:sz w:val="20"/>
                <w:szCs w:val="20"/>
              </w:rPr>
              <w:t>Hum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Mol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Genet</w:t>
            </w:r>
            <w:proofErr w:type="spellEnd"/>
          </w:p>
        </w:tc>
        <w:tc>
          <w:tcPr>
            <w:tcW w:w="1276" w:type="dxa"/>
          </w:tcPr>
          <w:p w14:paraId="6E078753" w14:textId="77777777" w:rsidR="00E82530" w:rsidRPr="00E82530" w:rsidRDefault="00E82530" w:rsidP="00F1037E">
            <w:pPr>
              <w:jc w:val="both"/>
              <w:rPr>
                <w:sz w:val="20"/>
                <w:szCs w:val="20"/>
                <w:lang w:val="en-US"/>
              </w:rPr>
            </w:pPr>
            <w:r w:rsidRPr="00E82530">
              <w:rPr>
                <w:sz w:val="20"/>
                <w:szCs w:val="20"/>
                <w:lang w:val="en-US"/>
              </w:rPr>
              <w:t>6.393</w:t>
            </w:r>
          </w:p>
        </w:tc>
      </w:tr>
      <w:tr w:rsidR="00E82530" w:rsidRPr="00E82530" w14:paraId="1555CA84" w14:textId="77777777" w:rsidTr="004D4F78">
        <w:trPr>
          <w:cantSplit/>
          <w:trHeight w:val="1027"/>
        </w:trPr>
        <w:tc>
          <w:tcPr>
            <w:tcW w:w="6516" w:type="dxa"/>
          </w:tcPr>
          <w:p w14:paraId="65CB60F5" w14:textId="77777777" w:rsidR="00E82530" w:rsidRPr="00E82530" w:rsidRDefault="00E82530" w:rsidP="004D4F78">
            <w:pPr>
              <w:autoSpaceDE w:val="0"/>
              <w:autoSpaceDN w:val="0"/>
              <w:adjustRightInd w:val="0"/>
              <w:rPr>
                <w:rFonts w:cs="Cambria"/>
                <w:sz w:val="20"/>
                <w:szCs w:val="20"/>
                <w:lang w:val="en-US"/>
              </w:rPr>
            </w:pPr>
            <w:r w:rsidRPr="00E82530">
              <w:rPr>
                <w:rFonts w:cs="Cambria"/>
                <w:sz w:val="20"/>
                <w:szCs w:val="20"/>
              </w:rPr>
              <w:t xml:space="preserve">Nagore E, Requena C,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Traves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V, Guillen C, Hayward NK,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Whiteman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DC, Hacker E.</w:t>
            </w:r>
          </w:p>
        </w:tc>
        <w:tc>
          <w:tcPr>
            <w:tcW w:w="1984" w:type="dxa"/>
          </w:tcPr>
          <w:p w14:paraId="46538FCA" w14:textId="77777777" w:rsidR="00E82530" w:rsidRPr="00E82530" w:rsidRDefault="00E82530" w:rsidP="004D4F78">
            <w:pPr>
              <w:autoSpaceDE w:val="0"/>
              <w:autoSpaceDN w:val="0"/>
              <w:adjustRightInd w:val="0"/>
              <w:rPr>
                <w:rFonts w:cs="Cambria"/>
                <w:sz w:val="20"/>
                <w:szCs w:val="20"/>
                <w:lang w:val="en-US"/>
              </w:rPr>
            </w:pPr>
            <w:r w:rsidRPr="00E82530">
              <w:rPr>
                <w:rFonts w:cs="Cambria"/>
                <w:sz w:val="20"/>
                <w:szCs w:val="20"/>
                <w:lang w:val="en-US"/>
              </w:rPr>
              <w:t>Prognostic value of BRAF mutations in localized cutaneous melanoma.</w:t>
            </w:r>
          </w:p>
        </w:tc>
        <w:tc>
          <w:tcPr>
            <w:tcW w:w="709" w:type="dxa"/>
          </w:tcPr>
          <w:p w14:paraId="0EC00ABB" w14:textId="77777777" w:rsidR="00E82530" w:rsidRPr="00E82530" w:rsidRDefault="00E82530" w:rsidP="004D4F78">
            <w:pPr>
              <w:rPr>
                <w:sz w:val="20"/>
                <w:szCs w:val="20"/>
                <w:lang w:val="en-US"/>
              </w:rPr>
            </w:pPr>
            <w:r w:rsidRPr="00E82530">
              <w:rPr>
                <w:sz w:val="20"/>
                <w:szCs w:val="20"/>
                <w:lang w:val="en-US"/>
              </w:rPr>
              <w:t>2014</w:t>
            </w:r>
          </w:p>
        </w:tc>
        <w:tc>
          <w:tcPr>
            <w:tcW w:w="2268" w:type="dxa"/>
          </w:tcPr>
          <w:p w14:paraId="7868734F" w14:textId="77777777" w:rsidR="00E82530" w:rsidRPr="00E82530" w:rsidRDefault="00E82530" w:rsidP="004D4F78">
            <w:pPr>
              <w:autoSpaceDE w:val="0"/>
              <w:autoSpaceDN w:val="0"/>
              <w:adjustRightInd w:val="0"/>
              <w:rPr>
                <w:rFonts w:cs="Cambria"/>
                <w:sz w:val="20"/>
                <w:szCs w:val="20"/>
              </w:rPr>
            </w:pPr>
            <w:r w:rsidRPr="00E82530">
              <w:rPr>
                <w:rFonts w:cs="Cambria"/>
                <w:sz w:val="20"/>
                <w:szCs w:val="20"/>
              </w:rPr>
              <w:t xml:space="preserve">J Am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Acad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Dermatol</w:t>
            </w:r>
            <w:proofErr w:type="spellEnd"/>
          </w:p>
        </w:tc>
        <w:tc>
          <w:tcPr>
            <w:tcW w:w="1276" w:type="dxa"/>
          </w:tcPr>
          <w:p w14:paraId="5A1C938F" w14:textId="77777777" w:rsidR="00E82530" w:rsidRPr="00E82530" w:rsidRDefault="00E82530" w:rsidP="00F1037E">
            <w:pPr>
              <w:jc w:val="both"/>
              <w:rPr>
                <w:sz w:val="20"/>
                <w:szCs w:val="20"/>
                <w:lang w:val="en-US"/>
              </w:rPr>
            </w:pPr>
            <w:r w:rsidRPr="00E82530">
              <w:rPr>
                <w:sz w:val="20"/>
                <w:szCs w:val="20"/>
                <w:lang w:val="en-US"/>
              </w:rPr>
              <w:t>4.449</w:t>
            </w:r>
          </w:p>
        </w:tc>
      </w:tr>
      <w:tr w:rsidR="00E82530" w:rsidRPr="00E82530" w14:paraId="0A27D2FF" w14:textId="77777777" w:rsidTr="004D4F78">
        <w:trPr>
          <w:cantSplit/>
          <w:trHeight w:val="1027"/>
        </w:trPr>
        <w:tc>
          <w:tcPr>
            <w:tcW w:w="6516" w:type="dxa"/>
          </w:tcPr>
          <w:p w14:paraId="1746DD35" w14:textId="77777777" w:rsidR="00E82530" w:rsidRPr="00E82530" w:rsidRDefault="00E82530" w:rsidP="004D4F78">
            <w:pPr>
              <w:autoSpaceDE w:val="0"/>
              <w:autoSpaceDN w:val="0"/>
              <w:adjustRightInd w:val="0"/>
              <w:rPr>
                <w:rFonts w:cs="Cambria"/>
                <w:sz w:val="20"/>
                <w:szCs w:val="20"/>
              </w:rPr>
            </w:pPr>
            <w:r w:rsidRPr="00E82530">
              <w:rPr>
                <w:rFonts w:cs="Cambria"/>
                <w:sz w:val="20"/>
                <w:szCs w:val="20"/>
              </w:rPr>
              <w:t xml:space="preserve">Rubio Briones J,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Borque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A, Esteban LM, Casanova J, Rubio L, Casanova‐ Salas I, Sanz G</w:t>
            </w:r>
            <w:proofErr w:type="gramStart"/>
            <w:r w:rsidRPr="00E82530">
              <w:rPr>
                <w:rFonts w:cs="Cambria"/>
                <w:sz w:val="20"/>
                <w:szCs w:val="20"/>
              </w:rPr>
              <w:t>, ,</w:t>
            </w:r>
            <w:proofErr w:type="gramEnd"/>
            <w:r w:rsidRPr="00E82530">
              <w:rPr>
                <w:rFonts w:cs="Cambria"/>
                <w:sz w:val="20"/>
                <w:szCs w:val="20"/>
              </w:rPr>
              <w:t xml:space="preserve"> Calatrava A, Domínguez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Escrig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J, Collado A, Gómez Ferrer A, Iborra I, Rubio L, Ramírez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Backhaus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M, Fernández Serra A,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Martinez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F, López Guerrero JA</w:t>
            </w:r>
          </w:p>
        </w:tc>
        <w:tc>
          <w:tcPr>
            <w:tcW w:w="1984" w:type="dxa"/>
          </w:tcPr>
          <w:p w14:paraId="14A0F706" w14:textId="77777777" w:rsidR="00E82530" w:rsidRPr="00E82530" w:rsidRDefault="00E82530" w:rsidP="004D4F78">
            <w:pPr>
              <w:autoSpaceDE w:val="0"/>
              <w:autoSpaceDN w:val="0"/>
              <w:adjustRightInd w:val="0"/>
              <w:rPr>
                <w:rFonts w:cs="Cambria"/>
                <w:sz w:val="20"/>
                <w:szCs w:val="20"/>
                <w:lang w:val="en-US"/>
              </w:rPr>
            </w:pPr>
            <w:r w:rsidRPr="00E82530">
              <w:rPr>
                <w:rFonts w:cs="Cambria"/>
                <w:sz w:val="20"/>
                <w:szCs w:val="20"/>
                <w:lang w:val="en-US"/>
              </w:rPr>
              <w:t xml:space="preserve">Optimizing the clinical utility of PCA3 to diagnose </w:t>
            </w:r>
            <w:proofErr w:type="spellStart"/>
            <w:r w:rsidRPr="00E82530">
              <w:rPr>
                <w:rFonts w:cs="Cambria"/>
                <w:sz w:val="20"/>
                <w:szCs w:val="20"/>
                <w:lang w:val="en-US"/>
              </w:rPr>
              <w:t>prostare</w:t>
            </w:r>
            <w:proofErr w:type="spellEnd"/>
            <w:r w:rsidRPr="00E82530">
              <w:rPr>
                <w:rFonts w:cs="Cambria"/>
                <w:sz w:val="20"/>
                <w:szCs w:val="20"/>
                <w:lang w:val="en-US"/>
              </w:rPr>
              <w:t xml:space="preserve"> cancer in initial prostate biopsy</w:t>
            </w:r>
          </w:p>
        </w:tc>
        <w:tc>
          <w:tcPr>
            <w:tcW w:w="709" w:type="dxa"/>
          </w:tcPr>
          <w:p w14:paraId="7E316091" w14:textId="77777777" w:rsidR="00E82530" w:rsidRPr="00E82530" w:rsidRDefault="00E82530" w:rsidP="004D4F78">
            <w:pPr>
              <w:rPr>
                <w:sz w:val="20"/>
                <w:szCs w:val="20"/>
              </w:rPr>
            </w:pPr>
            <w:r w:rsidRPr="00E82530">
              <w:rPr>
                <w:sz w:val="20"/>
                <w:szCs w:val="20"/>
              </w:rPr>
              <w:t>2015</w:t>
            </w:r>
          </w:p>
        </w:tc>
        <w:tc>
          <w:tcPr>
            <w:tcW w:w="2268" w:type="dxa"/>
          </w:tcPr>
          <w:p w14:paraId="47528E24" w14:textId="77777777" w:rsidR="00E82530" w:rsidRPr="00E82530" w:rsidRDefault="00E82530" w:rsidP="004D4F78">
            <w:pPr>
              <w:autoSpaceDE w:val="0"/>
              <w:autoSpaceDN w:val="0"/>
              <w:adjustRightInd w:val="0"/>
              <w:rPr>
                <w:rFonts w:cs="Cambria"/>
                <w:sz w:val="20"/>
                <w:szCs w:val="20"/>
              </w:rPr>
            </w:pPr>
            <w:r w:rsidRPr="00E82530">
              <w:rPr>
                <w:rFonts w:cs="Cambria"/>
                <w:sz w:val="20"/>
                <w:szCs w:val="20"/>
              </w:rPr>
              <w:t xml:space="preserve">BMC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Cancer</w:t>
            </w:r>
            <w:proofErr w:type="spellEnd"/>
          </w:p>
        </w:tc>
        <w:tc>
          <w:tcPr>
            <w:tcW w:w="1276" w:type="dxa"/>
          </w:tcPr>
          <w:p w14:paraId="4523D178" w14:textId="77777777" w:rsidR="00E82530" w:rsidRPr="00E82530" w:rsidRDefault="00E82530" w:rsidP="00F1037E">
            <w:pPr>
              <w:jc w:val="both"/>
              <w:rPr>
                <w:sz w:val="20"/>
                <w:szCs w:val="20"/>
                <w:lang w:val="en-US"/>
              </w:rPr>
            </w:pPr>
            <w:r w:rsidRPr="00E82530">
              <w:rPr>
                <w:sz w:val="20"/>
                <w:szCs w:val="20"/>
                <w:lang w:val="en-US"/>
              </w:rPr>
              <w:t>3.36</w:t>
            </w:r>
          </w:p>
        </w:tc>
      </w:tr>
      <w:tr w:rsidR="00E82530" w:rsidRPr="00E82530" w14:paraId="30441739" w14:textId="77777777" w:rsidTr="004D4F78">
        <w:trPr>
          <w:cantSplit/>
          <w:trHeight w:val="1027"/>
        </w:trPr>
        <w:tc>
          <w:tcPr>
            <w:tcW w:w="6516" w:type="dxa"/>
          </w:tcPr>
          <w:p w14:paraId="34D6316B" w14:textId="77777777" w:rsidR="00E82530" w:rsidRPr="00E82530" w:rsidRDefault="00E82530" w:rsidP="004D4F78">
            <w:pPr>
              <w:autoSpaceDE w:val="0"/>
              <w:autoSpaceDN w:val="0"/>
              <w:adjustRightInd w:val="0"/>
              <w:rPr>
                <w:rFonts w:cs="Cambria"/>
                <w:sz w:val="20"/>
                <w:szCs w:val="20"/>
              </w:rPr>
            </w:pPr>
            <w:proofErr w:type="spellStart"/>
            <w:r w:rsidRPr="00E82530">
              <w:rPr>
                <w:rFonts w:cs="Cambria"/>
                <w:sz w:val="20"/>
                <w:szCs w:val="20"/>
              </w:rPr>
              <w:t>Riegman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PH, de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Jong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B,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Daidone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MG,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Söderström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T, Thompson J, Hall JA,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Mendy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M, Ten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Hoeve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J,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Broeks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A, Reed W,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Morente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MM,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Lopez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‐Guerrero JA, Collins VP,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Rogan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J,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Ringborg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U</w:t>
            </w:r>
          </w:p>
        </w:tc>
        <w:tc>
          <w:tcPr>
            <w:tcW w:w="1984" w:type="dxa"/>
          </w:tcPr>
          <w:p w14:paraId="183292DE" w14:textId="77777777" w:rsidR="00E82530" w:rsidRPr="00E82530" w:rsidRDefault="00E82530" w:rsidP="004D4F78">
            <w:pPr>
              <w:autoSpaceDE w:val="0"/>
              <w:autoSpaceDN w:val="0"/>
              <w:adjustRightInd w:val="0"/>
              <w:rPr>
                <w:rFonts w:cs="Cambria"/>
                <w:sz w:val="20"/>
                <w:szCs w:val="20"/>
                <w:lang w:val="en-US"/>
              </w:rPr>
            </w:pPr>
            <w:r w:rsidRPr="00E82530">
              <w:rPr>
                <w:rFonts w:cs="Cambria"/>
                <w:sz w:val="20"/>
                <w:szCs w:val="20"/>
                <w:lang w:val="en-US"/>
              </w:rPr>
              <w:t>Optimizing sharing of hospital biobank samples</w:t>
            </w:r>
          </w:p>
        </w:tc>
        <w:tc>
          <w:tcPr>
            <w:tcW w:w="709" w:type="dxa"/>
          </w:tcPr>
          <w:p w14:paraId="6738FC94" w14:textId="77777777" w:rsidR="00E82530" w:rsidRPr="00E82530" w:rsidRDefault="00E82530" w:rsidP="004D4F78">
            <w:pPr>
              <w:rPr>
                <w:sz w:val="20"/>
                <w:szCs w:val="20"/>
                <w:lang w:val="en-US"/>
              </w:rPr>
            </w:pPr>
            <w:r w:rsidRPr="00E82530">
              <w:rPr>
                <w:sz w:val="20"/>
                <w:szCs w:val="20"/>
                <w:lang w:val="en-US"/>
              </w:rPr>
              <w:t>2015</w:t>
            </w:r>
          </w:p>
        </w:tc>
        <w:tc>
          <w:tcPr>
            <w:tcW w:w="2268" w:type="dxa"/>
          </w:tcPr>
          <w:p w14:paraId="103EA0DF" w14:textId="77777777" w:rsidR="00E82530" w:rsidRPr="00E82530" w:rsidRDefault="00E82530" w:rsidP="004D4F78">
            <w:pPr>
              <w:autoSpaceDE w:val="0"/>
              <w:autoSpaceDN w:val="0"/>
              <w:adjustRightInd w:val="0"/>
              <w:rPr>
                <w:rFonts w:cs="Cambria"/>
                <w:sz w:val="20"/>
                <w:szCs w:val="20"/>
                <w:lang w:val="en-US"/>
              </w:rPr>
            </w:pPr>
            <w:r w:rsidRPr="00E82530">
              <w:rPr>
                <w:rFonts w:cs="Cambria"/>
                <w:sz w:val="20"/>
                <w:szCs w:val="20"/>
              </w:rPr>
              <w:t xml:space="preserve">SCI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Transl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Med</w:t>
            </w:r>
            <w:proofErr w:type="spellEnd"/>
          </w:p>
        </w:tc>
        <w:tc>
          <w:tcPr>
            <w:tcW w:w="1276" w:type="dxa"/>
          </w:tcPr>
          <w:p w14:paraId="4DAE3C17" w14:textId="77777777" w:rsidR="00E82530" w:rsidRPr="00E82530" w:rsidRDefault="00E82530" w:rsidP="00F1037E">
            <w:pPr>
              <w:jc w:val="both"/>
              <w:rPr>
                <w:sz w:val="20"/>
                <w:szCs w:val="20"/>
                <w:lang w:val="en-US"/>
              </w:rPr>
            </w:pPr>
            <w:r w:rsidRPr="00E82530">
              <w:rPr>
                <w:sz w:val="20"/>
                <w:szCs w:val="20"/>
                <w:lang w:val="en-US"/>
              </w:rPr>
              <w:t>15.843</w:t>
            </w:r>
          </w:p>
        </w:tc>
      </w:tr>
      <w:tr w:rsidR="00E82530" w:rsidRPr="00E82530" w14:paraId="4E54AD03" w14:textId="77777777" w:rsidTr="004D4F78">
        <w:trPr>
          <w:cantSplit/>
          <w:trHeight w:val="1027"/>
        </w:trPr>
        <w:tc>
          <w:tcPr>
            <w:tcW w:w="6516" w:type="dxa"/>
          </w:tcPr>
          <w:p w14:paraId="3F3BA984" w14:textId="77777777" w:rsidR="00E82530" w:rsidRPr="00E82530" w:rsidRDefault="00E82530" w:rsidP="004D4F78">
            <w:pPr>
              <w:autoSpaceDE w:val="0"/>
              <w:autoSpaceDN w:val="0"/>
              <w:adjustRightInd w:val="0"/>
              <w:rPr>
                <w:rFonts w:cs="Cambria"/>
                <w:sz w:val="20"/>
                <w:szCs w:val="20"/>
              </w:rPr>
            </w:pPr>
            <w:r w:rsidRPr="00E82530">
              <w:rPr>
                <w:rFonts w:cs="Cambria"/>
                <w:sz w:val="20"/>
                <w:szCs w:val="20"/>
              </w:rPr>
              <w:t xml:space="preserve">Casanova‐Salas I,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Masiá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E, Armiñán A, Calatrava A,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Mancarella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C, Rubio‐Briones J,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Scotlandi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K,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Vicent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MJ,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Lopez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>‐Guerrero JA</w:t>
            </w:r>
          </w:p>
        </w:tc>
        <w:tc>
          <w:tcPr>
            <w:tcW w:w="1984" w:type="dxa"/>
          </w:tcPr>
          <w:p w14:paraId="6EE3158D" w14:textId="77777777" w:rsidR="00E82530" w:rsidRPr="00E82530" w:rsidRDefault="00E82530" w:rsidP="004D4F78">
            <w:pPr>
              <w:autoSpaceDE w:val="0"/>
              <w:autoSpaceDN w:val="0"/>
              <w:adjustRightInd w:val="0"/>
              <w:rPr>
                <w:rFonts w:cs="Cambria"/>
                <w:sz w:val="20"/>
                <w:szCs w:val="20"/>
                <w:lang w:val="en-US"/>
              </w:rPr>
            </w:pPr>
            <w:r w:rsidRPr="00E82530">
              <w:rPr>
                <w:rFonts w:cs="Cambria"/>
                <w:sz w:val="20"/>
                <w:szCs w:val="20"/>
                <w:lang w:val="en-US"/>
              </w:rPr>
              <w:t>Targets the Androgen‐Regulated Gene ALDH1A3 in Prostate Cancer</w:t>
            </w:r>
          </w:p>
        </w:tc>
        <w:tc>
          <w:tcPr>
            <w:tcW w:w="709" w:type="dxa"/>
          </w:tcPr>
          <w:p w14:paraId="18BEB1F2" w14:textId="77777777" w:rsidR="00E82530" w:rsidRPr="00E82530" w:rsidRDefault="00E82530" w:rsidP="004D4F78">
            <w:pPr>
              <w:rPr>
                <w:sz w:val="20"/>
                <w:szCs w:val="20"/>
                <w:lang w:val="en-US"/>
              </w:rPr>
            </w:pPr>
            <w:r w:rsidRPr="00E82530">
              <w:rPr>
                <w:sz w:val="20"/>
                <w:szCs w:val="20"/>
                <w:lang w:val="en-US"/>
              </w:rPr>
              <w:t>2015</w:t>
            </w:r>
          </w:p>
        </w:tc>
        <w:tc>
          <w:tcPr>
            <w:tcW w:w="2268" w:type="dxa"/>
          </w:tcPr>
          <w:p w14:paraId="66BD3DCB" w14:textId="77777777" w:rsidR="00E82530" w:rsidRPr="00E82530" w:rsidRDefault="00E82530" w:rsidP="004D4F78">
            <w:pPr>
              <w:autoSpaceDE w:val="0"/>
              <w:autoSpaceDN w:val="0"/>
              <w:adjustRightInd w:val="0"/>
              <w:rPr>
                <w:rFonts w:cs="Cambria"/>
                <w:sz w:val="20"/>
                <w:szCs w:val="20"/>
              </w:rPr>
            </w:pPr>
            <w:proofErr w:type="spellStart"/>
            <w:r w:rsidRPr="00E82530">
              <w:rPr>
                <w:rFonts w:cs="Cambria"/>
                <w:sz w:val="20"/>
                <w:szCs w:val="20"/>
              </w:rPr>
              <w:t>Plas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One</w:t>
            </w:r>
            <w:proofErr w:type="spellEnd"/>
          </w:p>
        </w:tc>
        <w:tc>
          <w:tcPr>
            <w:tcW w:w="1276" w:type="dxa"/>
          </w:tcPr>
          <w:p w14:paraId="04F88D62" w14:textId="77777777" w:rsidR="00E82530" w:rsidRPr="00E82530" w:rsidRDefault="00E82530" w:rsidP="00F1037E">
            <w:pPr>
              <w:jc w:val="both"/>
              <w:rPr>
                <w:sz w:val="20"/>
                <w:szCs w:val="20"/>
                <w:lang w:val="en-US"/>
              </w:rPr>
            </w:pPr>
            <w:r w:rsidRPr="00E82530">
              <w:rPr>
                <w:sz w:val="20"/>
                <w:szCs w:val="20"/>
                <w:lang w:val="en-US"/>
              </w:rPr>
              <w:t>3.54</w:t>
            </w:r>
          </w:p>
        </w:tc>
      </w:tr>
      <w:tr w:rsidR="00E82530" w:rsidRPr="00E82530" w14:paraId="1C2BDCC3" w14:textId="77777777" w:rsidTr="004D4F78">
        <w:trPr>
          <w:cantSplit/>
          <w:trHeight w:val="1027"/>
        </w:trPr>
        <w:tc>
          <w:tcPr>
            <w:tcW w:w="6516" w:type="dxa"/>
          </w:tcPr>
          <w:p w14:paraId="217E1FB6" w14:textId="77777777" w:rsidR="00E82530" w:rsidRPr="00E82530" w:rsidRDefault="00E82530" w:rsidP="004D4F78">
            <w:pPr>
              <w:autoSpaceDE w:val="0"/>
              <w:autoSpaceDN w:val="0"/>
              <w:adjustRightInd w:val="0"/>
              <w:rPr>
                <w:rFonts w:cs="Cambria"/>
                <w:sz w:val="20"/>
                <w:szCs w:val="20"/>
              </w:rPr>
            </w:pPr>
            <w:proofErr w:type="spellStart"/>
            <w:r w:rsidRPr="00E82530">
              <w:rPr>
                <w:rFonts w:cs="Cambria"/>
                <w:sz w:val="20"/>
                <w:szCs w:val="20"/>
              </w:rPr>
              <w:t>Mancarella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C, Casanova‐Salas I, Calatrava A, Ventura S,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Garofalo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C, Rubio‐Briones J,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Magistroni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V, Manara MC,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Lopez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‐Guerrero JA,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Scotlandi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K</w:t>
            </w:r>
          </w:p>
        </w:tc>
        <w:tc>
          <w:tcPr>
            <w:tcW w:w="1984" w:type="dxa"/>
          </w:tcPr>
          <w:p w14:paraId="7E9357DD" w14:textId="77777777" w:rsidR="00E82530" w:rsidRPr="00E82530" w:rsidRDefault="00E82530" w:rsidP="004D4F78">
            <w:pPr>
              <w:autoSpaceDE w:val="0"/>
              <w:autoSpaceDN w:val="0"/>
              <w:adjustRightInd w:val="0"/>
              <w:rPr>
                <w:rFonts w:cs="Cambria"/>
                <w:sz w:val="20"/>
                <w:szCs w:val="20"/>
                <w:lang w:val="en-US"/>
              </w:rPr>
            </w:pPr>
            <w:r w:rsidRPr="00E82530">
              <w:rPr>
                <w:rFonts w:cs="Cambria"/>
                <w:sz w:val="20"/>
                <w:szCs w:val="20"/>
                <w:lang w:val="en-US"/>
              </w:rPr>
              <w:t>ERG deregulation induces IGF‐1R expression in prostate cancer cells and affects</w:t>
            </w:r>
          </w:p>
        </w:tc>
        <w:tc>
          <w:tcPr>
            <w:tcW w:w="709" w:type="dxa"/>
          </w:tcPr>
          <w:p w14:paraId="759EB5D0" w14:textId="77777777" w:rsidR="00E82530" w:rsidRPr="00E82530" w:rsidRDefault="00E82530" w:rsidP="004D4F78">
            <w:pPr>
              <w:rPr>
                <w:sz w:val="20"/>
                <w:szCs w:val="20"/>
                <w:lang w:val="en-US"/>
              </w:rPr>
            </w:pPr>
            <w:r w:rsidRPr="00E82530">
              <w:rPr>
                <w:sz w:val="20"/>
                <w:szCs w:val="20"/>
                <w:lang w:val="en-US"/>
              </w:rPr>
              <w:t>2015</w:t>
            </w:r>
          </w:p>
        </w:tc>
        <w:tc>
          <w:tcPr>
            <w:tcW w:w="2268" w:type="dxa"/>
          </w:tcPr>
          <w:p w14:paraId="64B1E891" w14:textId="77777777" w:rsidR="00E82530" w:rsidRPr="00E82530" w:rsidRDefault="00E82530" w:rsidP="004D4F78">
            <w:pPr>
              <w:autoSpaceDE w:val="0"/>
              <w:autoSpaceDN w:val="0"/>
              <w:adjustRightInd w:val="0"/>
              <w:rPr>
                <w:rFonts w:cs="Cambria"/>
                <w:sz w:val="20"/>
                <w:szCs w:val="20"/>
                <w:lang w:val="en-US"/>
              </w:rPr>
            </w:pPr>
            <w:proofErr w:type="spellStart"/>
            <w:r w:rsidRPr="00E82530">
              <w:rPr>
                <w:rFonts w:cs="Cambria"/>
                <w:sz w:val="20"/>
                <w:szCs w:val="20"/>
              </w:rPr>
              <w:t>OncoTarget</w:t>
            </w:r>
            <w:proofErr w:type="spellEnd"/>
          </w:p>
        </w:tc>
        <w:tc>
          <w:tcPr>
            <w:tcW w:w="1276" w:type="dxa"/>
          </w:tcPr>
          <w:p w14:paraId="1833F432" w14:textId="77777777" w:rsidR="00E82530" w:rsidRPr="00E82530" w:rsidRDefault="00E82530" w:rsidP="00F1037E">
            <w:pPr>
              <w:jc w:val="both"/>
              <w:rPr>
                <w:sz w:val="20"/>
                <w:szCs w:val="20"/>
                <w:lang w:val="en-US"/>
              </w:rPr>
            </w:pPr>
            <w:r w:rsidRPr="00E82530">
              <w:rPr>
                <w:sz w:val="20"/>
                <w:szCs w:val="20"/>
                <w:lang w:val="en-US"/>
              </w:rPr>
              <w:t>6.627</w:t>
            </w:r>
          </w:p>
        </w:tc>
      </w:tr>
      <w:tr w:rsidR="00E82530" w:rsidRPr="00E82530" w14:paraId="649773EF" w14:textId="77777777" w:rsidTr="004D4F78">
        <w:trPr>
          <w:cantSplit/>
          <w:trHeight w:val="1027"/>
        </w:trPr>
        <w:tc>
          <w:tcPr>
            <w:tcW w:w="6516" w:type="dxa"/>
          </w:tcPr>
          <w:p w14:paraId="59C0D9F6" w14:textId="77777777" w:rsidR="00E82530" w:rsidRPr="00E82530" w:rsidRDefault="00E82530" w:rsidP="004D4F78">
            <w:pPr>
              <w:autoSpaceDE w:val="0"/>
              <w:autoSpaceDN w:val="0"/>
              <w:adjustRightInd w:val="0"/>
              <w:rPr>
                <w:rFonts w:cs="Cambria"/>
                <w:sz w:val="20"/>
                <w:szCs w:val="20"/>
              </w:rPr>
            </w:pPr>
            <w:proofErr w:type="spellStart"/>
            <w:r w:rsidRPr="00E82530">
              <w:rPr>
                <w:rFonts w:cs="Cambria"/>
                <w:sz w:val="20"/>
                <w:szCs w:val="20"/>
              </w:rPr>
              <w:t>Evgeniya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Denisova1,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Barbara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Heidenreich1, Eduardo Nagore2, PSivaramakrishnaRachakonda1,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Ismail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Hosen1, Ivana Akrap3, Víctor Traves4, Zaida Garcia‐Casado</w:t>
            </w:r>
            <w:proofErr w:type="gramStart"/>
            <w:r w:rsidRPr="00E82530">
              <w:rPr>
                <w:rFonts w:cs="Cambria"/>
                <w:sz w:val="20"/>
                <w:szCs w:val="20"/>
              </w:rPr>
              <w:t>5,José</w:t>
            </w:r>
            <w:proofErr w:type="gramEnd"/>
            <w:r w:rsidRPr="00E82530">
              <w:rPr>
                <w:rFonts w:cs="Cambria"/>
                <w:sz w:val="20"/>
                <w:szCs w:val="20"/>
              </w:rPr>
              <w:t xml:space="preserve"> Antonio Lopez‐Guerrero5, Celia Requena2, Onofre Sanmartin2, Carlos Serra‐Guillén2, Beatriz Llombart2, Carlos Guillén2, Jose Ferrando6, Enrique Gimeno6,Alfred Nordheim3,7,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Kari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Hemminki1,8 and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Rajiv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Kumar1</w:t>
            </w:r>
          </w:p>
        </w:tc>
        <w:tc>
          <w:tcPr>
            <w:tcW w:w="1984" w:type="dxa"/>
          </w:tcPr>
          <w:p w14:paraId="5676AA40" w14:textId="77777777" w:rsidR="00E82530" w:rsidRPr="00E82530" w:rsidRDefault="00E82530" w:rsidP="004D4F78">
            <w:pPr>
              <w:autoSpaceDE w:val="0"/>
              <w:autoSpaceDN w:val="0"/>
              <w:adjustRightInd w:val="0"/>
              <w:rPr>
                <w:rFonts w:cs="Cambria-Italic"/>
                <w:i/>
                <w:iCs/>
                <w:sz w:val="20"/>
                <w:szCs w:val="20"/>
                <w:lang w:val="en-US"/>
              </w:rPr>
            </w:pPr>
            <w:r w:rsidRPr="00E82530">
              <w:rPr>
                <w:rFonts w:cs="Cambria"/>
                <w:sz w:val="20"/>
                <w:szCs w:val="20"/>
                <w:lang w:val="en-US"/>
              </w:rPr>
              <w:t xml:space="preserve">Frequent </w:t>
            </w:r>
            <w:r w:rsidRPr="00E82530">
              <w:rPr>
                <w:rFonts w:cs="Cambria-Italic"/>
                <w:i/>
                <w:iCs/>
                <w:sz w:val="20"/>
                <w:szCs w:val="20"/>
                <w:lang w:val="en-US"/>
              </w:rPr>
              <w:t xml:space="preserve">DPH3 </w:t>
            </w:r>
            <w:r w:rsidRPr="00E82530">
              <w:rPr>
                <w:rFonts w:cs="Cambria"/>
                <w:sz w:val="20"/>
                <w:szCs w:val="20"/>
                <w:lang w:val="en-US"/>
              </w:rPr>
              <w:t>promoter mutations in skin cancers</w:t>
            </w:r>
          </w:p>
        </w:tc>
        <w:tc>
          <w:tcPr>
            <w:tcW w:w="709" w:type="dxa"/>
          </w:tcPr>
          <w:p w14:paraId="216E4B11" w14:textId="77777777" w:rsidR="00E82530" w:rsidRPr="00E82530" w:rsidRDefault="00E82530" w:rsidP="004D4F78">
            <w:pPr>
              <w:rPr>
                <w:sz w:val="20"/>
                <w:szCs w:val="20"/>
                <w:lang w:val="en-US"/>
              </w:rPr>
            </w:pPr>
            <w:r w:rsidRPr="00E82530">
              <w:rPr>
                <w:sz w:val="20"/>
                <w:szCs w:val="20"/>
                <w:lang w:val="en-US"/>
              </w:rPr>
              <w:t>2015</w:t>
            </w:r>
          </w:p>
        </w:tc>
        <w:tc>
          <w:tcPr>
            <w:tcW w:w="2268" w:type="dxa"/>
          </w:tcPr>
          <w:p w14:paraId="1F42A1A5" w14:textId="77777777" w:rsidR="00E82530" w:rsidRPr="00E82530" w:rsidRDefault="00E82530" w:rsidP="004D4F78">
            <w:pPr>
              <w:autoSpaceDE w:val="0"/>
              <w:autoSpaceDN w:val="0"/>
              <w:adjustRightInd w:val="0"/>
              <w:rPr>
                <w:rFonts w:cs="Cambria"/>
                <w:sz w:val="20"/>
                <w:szCs w:val="20"/>
                <w:lang w:val="en-US"/>
              </w:rPr>
            </w:pPr>
            <w:proofErr w:type="spellStart"/>
            <w:r w:rsidRPr="00E82530">
              <w:rPr>
                <w:rFonts w:cs="Cambria"/>
                <w:sz w:val="20"/>
                <w:szCs w:val="20"/>
              </w:rPr>
              <w:t>Oncotarget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>,</w:t>
            </w:r>
          </w:p>
        </w:tc>
        <w:tc>
          <w:tcPr>
            <w:tcW w:w="1276" w:type="dxa"/>
          </w:tcPr>
          <w:p w14:paraId="5A4001F1" w14:textId="77777777" w:rsidR="00E82530" w:rsidRPr="00E82530" w:rsidRDefault="00E82530" w:rsidP="00F1037E">
            <w:pPr>
              <w:jc w:val="both"/>
              <w:rPr>
                <w:sz w:val="20"/>
                <w:szCs w:val="20"/>
                <w:lang w:val="en-US"/>
              </w:rPr>
            </w:pPr>
            <w:r w:rsidRPr="00E82530">
              <w:rPr>
                <w:sz w:val="20"/>
                <w:szCs w:val="20"/>
                <w:lang w:val="en-US"/>
              </w:rPr>
              <w:t>6.627</w:t>
            </w:r>
          </w:p>
        </w:tc>
      </w:tr>
      <w:tr w:rsidR="00E82530" w:rsidRPr="00E82530" w14:paraId="643F8709" w14:textId="77777777" w:rsidTr="004D4F78">
        <w:trPr>
          <w:cantSplit/>
          <w:trHeight w:val="1027"/>
        </w:trPr>
        <w:tc>
          <w:tcPr>
            <w:tcW w:w="6516" w:type="dxa"/>
          </w:tcPr>
          <w:p w14:paraId="21477B8E" w14:textId="77777777" w:rsidR="00E82530" w:rsidRPr="00E82530" w:rsidRDefault="00E82530" w:rsidP="004D4F78">
            <w:pPr>
              <w:autoSpaceDE w:val="0"/>
              <w:autoSpaceDN w:val="0"/>
              <w:adjustRightInd w:val="0"/>
              <w:rPr>
                <w:rFonts w:cs="Cambria"/>
                <w:sz w:val="20"/>
                <w:szCs w:val="20"/>
              </w:rPr>
            </w:pPr>
            <w:proofErr w:type="spellStart"/>
            <w:r w:rsidRPr="00E82530">
              <w:rPr>
                <w:rFonts w:cs="Cambria"/>
                <w:sz w:val="20"/>
                <w:szCs w:val="20"/>
              </w:rPr>
              <w:t>Simon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N. Stacey1,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Hannes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Helgason1,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Sigurjon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A. Gudjonsson1,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Gudmar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Thorleifsson1,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Florian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Zink1,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Asgeir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Sigurdsson1,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Birte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Kehr1, Julius Gudmundsson1, Patrick Sulem1,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Bardur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Sigurgeirsson2,3,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Kristrun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R. Benediktsdottir2,3,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Kristin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Thorisdottir2,3,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Rafn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Ragnarsson2,3, Victoria Fuentelsaz4, Cristina Corredera5, Yolanda Gilaberte6, Matilde Grasa7, Dolores Planelles8, Onofre Sanmartin9,10, Peter Rudnai11, Eugene Gurzau12,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Kvetoslava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Koppova13,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Bjørn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A. Nexø14,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Anne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Tjønneland15, Kim Overvad16, Jon G. Jonasson2,3,17,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Laufey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Tryggvadottir3,17,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Hrefna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Johannsdottir1, Anna M. Kristinsdottir1,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Hreinn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Stefansson1,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Gisli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Masson1,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Olafur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T. Magnusson1,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Bjarni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V. Halldorsson1,18, Augustine Kong1,Thorunn Rafnar1,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Unnur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Thorsteinsdottir1,3, Ulla Vogel19,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Rajiv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Kumar20, Eduardo Nagore9,10, Jose´ I. Mayordomo21, Daniel F. Gudbjartsson1, Jon H. Olafsson2,3 &amp;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Kari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Stefansson1,3</w:t>
            </w:r>
          </w:p>
        </w:tc>
        <w:tc>
          <w:tcPr>
            <w:tcW w:w="1984" w:type="dxa"/>
          </w:tcPr>
          <w:p w14:paraId="4E5BC75C" w14:textId="77777777" w:rsidR="00E82530" w:rsidRPr="00E82530" w:rsidRDefault="00E82530" w:rsidP="004D4F78">
            <w:pPr>
              <w:autoSpaceDE w:val="0"/>
              <w:autoSpaceDN w:val="0"/>
              <w:adjustRightInd w:val="0"/>
              <w:rPr>
                <w:rFonts w:cs="Cambria"/>
                <w:sz w:val="20"/>
                <w:szCs w:val="20"/>
                <w:lang w:val="en-US"/>
              </w:rPr>
            </w:pPr>
            <w:r w:rsidRPr="00E82530">
              <w:rPr>
                <w:rFonts w:cs="Cambria"/>
                <w:sz w:val="20"/>
                <w:szCs w:val="20"/>
                <w:lang w:val="en-US"/>
              </w:rPr>
              <w:t>New basal cell carcinoma Susceptibility loci</w:t>
            </w:r>
          </w:p>
        </w:tc>
        <w:tc>
          <w:tcPr>
            <w:tcW w:w="709" w:type="dxa"/>
          </w:tcPr>
          <w:p w14:paraId="31FBE6EB" w14:textId="77777777" w:rsidR="00E82530" w:rsidRPr="00E82530" w:rsidRDefault="00E82530" w:rsidP="004D4F78">
            <w:pPr>
              <w:rPr>
                <w:sz w:val="20"/>
                <w:szCs w:val="20"/>
                <w:lang w:val="en-US"/>
              </w:rPr>
            </w:pPr>
            <w:r w:rsidRPr="00E82530">
              <w:rPr>
                <w:sz w:val="20"/>
                <w:szCs w:val="20"/>
                <w:lang w:val="en-US"/>
              </w:rPr>
              <w:t>2015</w:t>
            </w:r>
          </w:p>
        </w:tc>
        <w:tc>
          <w:tcPr>
            <w:tcW w:w="2268" w:type="dxa"/>
          </w:tcPr>
          <w:p w14:paraId="27D69EB0" w14:textId="77777777" w:rsidR="00E82530" w:rsidRPr="00E82530" w:rsidRDefault="00E82530" w:rsidP="004D4F78">
            <w:pPr>
              <w:autoSpaceDE w:val="0"/>
              <w:autoSpaceDN w:val="0"/>
              <w:adjustRightInd w:val="0"/>
              <w:rPr>
                <w:rFonts w:cs="Cambria"/>
                <w:sz w:val="20"/>
                <w:szCs w:val="20"/>
              </w:rPr>
            </w:pPr>
            <w:proofErr w:type="spellStart"/>
            <w:r w:rsidRPr="00E82530">
              <w:rPr>
                <w:rFonts w:cs="Cambria"/>
                <w:sz w:val="20"/>
                <w:szCs w:val="20"/>
              </w:rPr>
              <w:t>Nature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comunications</w:t>
            </w:r>
            <w:proofErr w:type="spellEnd"/>
          </w:p>
        </w:tc>
        <w:tc>
          <w:tcPr>
            <w:tcW w:w="1276" w:type="dxa"/>
          </w:tcPr>
          <w:p w14:paraId="6F928D31" w14:textId="77777777" w:rsidR="00E82530" w:rsidRPr="00E82530" w:rsidRDefault="00E82530" w:rsidP="00F1037E">
            <w:pPr>
              <w:jc w:val="both"/>
              <w:rPr>
                <w:sz w:val="20"/>
                <w:szCs w:val="20"/>
                <w:lang w:val="en-US"/>
              </w:rPr>
            </w:pPr>
            <w:r w:rsidRPr="00E82530">
              <w:rPr>
                <w:sz w:val="20"/>
                <w:szCs w:val="20"/>
                <w:lang w:val="en-US"/>
              </w:rPr>
              <w:t>11.47</w:t>
            </w:r>
          </w:p>
        </w:tc>
      </w:tr>
      <w:tr w:rsidR="00E82530" w:rsidRPr="00E82530" w14:paraId="62FB5304" w14:textId="77777777" w:rsidTr="004D4F78">
        <w:trPr>
          <w:cantSplit/>
          <w:trHeight w:val="1027"/>
        </w:trPr>
        <w:tc>
          <w:tcPr>
            <w:tcW w:w="6516" w:type="dxa"/>
          </w:tcPr>
          <w:p w14:paraId="742C5662" w14:textId="77777777" w:rsidR="00E82530" w:rsidRPr="00E82530" w:rsidRDefault="00E82530" w:rsidP="004D4F78">
            <w:pPr>
              <w:autoSpaceDE w:val="0"/>
              <w:autoSpaceDN w:val="0"/>
              <w:adjustRightInd w:val="0"/>
              <w:rPr>
                <w:rFonts w:cs="Cambria"/>
                <w:sz w:val="20"/>
                <w:szCs w:val="20"/>
              </w:rPr>
            </w:pPr>
            <w:r w:rsidRPr="00E82530">
              <w:rPr>
                <w:rFonts w:cs="Cambria"/>
                <w:sz w:val="20"/>
                <w:szCs w:val="20"/>
              </w:rPr>
              <w:t xml:space="preserve">Rosa Murria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Estal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,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Sarai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Palanca Suela, Inmaculada de Juan Jiménez, Cristina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Alenda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Gonzalez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, Cecilia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Egoavil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</w:t>
            </w:r>
            <w:proofErr w:type="gramStart"/>
            <w:r w:rsidRPr="00E82530">
              <w:rPr>
                <w:rFonts w:cs="Cambria"/>
                <w:sz w:val="20"/>
                <w:szCs w:val="20"/>
              </w:rPr>
              <w:t>Rojas,  Zaida</w:t>
            </w:r>
            <w:proofErr w:type="gramEnd"/>
            <w:r w:rsidRPr="00E82530">
              <w:rPr>
                <w:rFonts w:cs="Cambria"/>
                <w:sz w:val="20"/>
                <w:szCs w:val="20"/>
              </w:rPr>
              <w:t xml:space="preserve"> García-Casado,  Jose Antonio López Guerrero,  María José Juan Fita, Ana Beatriz Sánchez Heras,  Ángel Segura Huerta,  Ana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Santaballa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Bertrán, Isabel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Chirivella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González, Marta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Llop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García, Gema Pérez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Simó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, Eva Barragán González, Pascual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Bolufer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Gilabert</w:t>
            </w:r>
            <w:proofErr w:type="spellEnd"/>
          </w:p>
        </w:tc>
        <w:tc>
          <w:tcPr>
            <w:tcW w:w="1984" w:type="dxa"/>
          </w:tcPr>
          <w:p w14:paraId="63FADFF1" w14:textId="77777777" w:rsidR="00E82530" w:rsidRPr="00E82530" w:rsidRDefault="00E82530" w:rsidP="004D4F78">
            <w:pPr>
              <w:autoSpaceDE w:val="0"/>
              <w:autoSpaceDN w:val="0"/>
              <w:adjustRightInd w:val="0"/>
              <w:rPr>
                <w:rFonts w:cs="Cambria"/>
                <w:sz w:val="20"/>
                <w:szCs w:val="20"/>
                <w:lang w:val="en-US"/>
              </w:rPr>
            </w:pPr>
            <w:r w:rsidRPr="00E82530">
              <w:rPr>
                <w:rFonts w:cs="Cambria"/>
                <w:sz w:val="20"/>
                <w:szCs w:val="20"/>
                <w:lang w:val="en-US"/>
              </w:rPr>
              <w:t xml:space="preserve">Relationship of immunohistochemistry, copy number aberrations and epigenetic disorders with </w:t>
            </w:r>
            <w:proofErr w:type="spellStart"/>
            <w:r w:rsidRPr="00E82530">
              <w:rPr>
                <w:rFonts w:cs="Cambria"/>
                <w:sz w:val="20"/>
                <w:szCs w:val="20"/>
                <w:lang w:val="en-US"/>
              </w:rPr>
              <w:t>BRCAness</w:t>
            </w:r>
            <w:proofErr w:type="spellEnd"/>
            <w:r w:rsidRPr="00E82530">
              <w:rPr>
                <w:rFonts w:cs="Cambria"/>
                <w:sz w:val="20"/>
                <w:szCs w:val="20"/>
                <w:lang w:val="en-US"/>
              </w:rPr>
              <w:t xml:space="preserve"> pattern in hereditary and sporadic breast cancer</w:t>
            </w:r>
          </w:p>
        </w:tc>
        <w:tc>
          <w:tcPr>
            <w:tcW w:w="709" w:type="dxa"/>
          </w:tcPr>
          <w:p w14:paraId="2A6E0196" w14:textId="77777777" w:rsidR="00E82530" w:rsidRPr="00E82530" w:rsidRDefault="00E82530" w:rsidP="004D4F78">
            <w:pPr>
              <w:rPr>
                <w:sz w:val="20"/>
                <w:szCs w:val="20"/>
                <w:lang w:val="en-US"/>
              </w:rPr>
            </w:pPr>
            <w:r w:rsidRPr="00E82530">
              <w:rPr>
                <w:sz w:val="20"/>
                <w:szCs w:val="20"/>
                <w:lang w:val="en-US"/>
              </w:rPr>
              <w:t>2016</w:t>
            </w:r>
          </w:p>
        </w:tc>
        <w:tc>
          <w:tcPr>
            <w:tcW w:w="2268" w:type="dxa"/>
          </w:tcPr>
          <w:p w14:paraId="593F9395" w14:textId="77777777" w:rsidR="00E82530" w:rsidRPr="00E82530" w:rsidRDefault="00E82530" w:rsidP="004D4F78">
            <w:pPr>
              <w:autoSpaceDE w:val="0"/>
              <w:autoSpaceDN w:val="0"/>
              <w:adjustRightInd w:val="0"/>
              <w:rPr>
                <w:rFonts w:cs="Cambria"/>
                <w:sz w:val="20"/>
                <w:szCs w:val="20"/>
              </w:rPr>
            </w:pPr>
            <w:proofErr w:type="spellStart"/>
            <w:r w:rsidRPr="00E82530">
              <w:rPr>
                <w:rFonts w:cs="Cambria"/>
                <w:sz w:val="20"/>
                <w:szCs w:val="20"/>
              </w:rPr>
              <w:t>Fam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Cancer</w:t>
            </w:r>
            <w:proofErr w:type="spellEnd"/>
          </w:p>
        </w:tc>
        <w:tc>
          <w:tcPr>
            <w:tcW w:w="1276" w:type="dxa"/>
          </w:tcPr>
          <w:p w14:paraId="770DAEE4" w14:textId="77777777" w:rsidR="00E82530" w:rsidRPr="00E82530" w:rsidRDefault="00E82530" w:rsidP="00F1037E">
            <w:pPr>
              <w:jc w:val="both"/>
              <w:rPr>
                <w:sz w:val="20"/>
                <w:szCs w:val="20"/>
                <w:lang w:val="en-US"/>
              </w:rPr>
            </w:pPr>
            <w:r w:rsidRPr="00E82530">
              <w:rPr>
                <w:sz w:val="20"/>
                <w:szCs w:val="20"/>
                <w:lang w:val="en-US"/>
              </w:rPr>
              <w:t>2,090</w:t>
            </w:r>
          </w:p>
        </w:tc>
      </w:tr>
      <w:tr w:rsidR="00E82530" w:rsidRPr="00E82530" w14:paraId="030D4A72" w14:textId="77777777" w:rsidTr="004D4F78">
        <w:trPr>
          <w:cantSplit/>
          <w:trHeight w:val="1027"/>
        </w:trPr>
        <w:tc>
          <w:tcPr>
            <w:tcW w:w="6516" w:type="dxa"/>
          </w:tcPr>
          <w:p w14:paraId="5EACB9C3" w14:textId="77777777" w:rsidR="00E82530" w:rsidRPr="00E82530" w:rsidRDefault="00E82530" w:rsidP="004D4F78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20"/>
                <w:szCs w:val="20"/>
              </w:rPr>
            </w:pPr>
          </w:p>
          <w:p w14:paraId="235F4A9A" w14:textId="77777777" w:rsidR="00E82530" w:rsidRPr="00E82530" w:rsidRDefault="00E82530" w:rsidP="004D4F78">
            <w:pPr>
              <w:autoSpaceDE w:val="0"/>
              <w:autoSpaceDN w:val="0"/>
              <w:adjustRightInd w:val="0"/>
              <w:rPr>
                <w:rFonts w:cs="Cambria"/>
                <w:sz w:val="20"/>
                <w:szCs w:val="20"/>
              </w:rPr>
            </w:pPr>
            <w:r w:rsidRPr="00E82530">
              <w:rPr>
                <w:rFonts w:cs="Verdana"/>
                <w:color w:val="000000"/>
                <w:sz w:val="20"/>
                <w:szCs w:val="20"/>
              </w:rPr>
              <w:t xml:space="preserve"> </w:t>
            </w:r>
            <w:r w:rsidRPr="00E82530">
              <w:rPr>
                <w:rFonts w:cs="Verdana"/>
                <w:bCs/>
                <w:color w:val="000000"/>
                <w:sz w:val="20"/>
                <w:szCs w:val="20"/>
              </w:rPr>
              <w:t xml:space="preserve">Ann Rita Halvorsen1, </w:t>
            </w:r>
            <w:proofErr w:type="spellStart"/>
            <w:r w:rsidRPr="00E82530">
              <w:rPr>
                <w:rFonts w:cs="Verdana"/>
                <w:bCs/>
                <w:color w:val="000000"/>
                <w:sz w:val="20"/>
                <w:szCs w:val="20"/>
              </w:rPr>
              <w:t>Maria</w:t>
            </w:r>
            <w:proofErr w:type="spellEnd"/>
            <w:r w:rsidRPr="00E82530">
              <w:rPr>
                <w:rFonts w:cs="Verdana"/>
                <w:bCs/>
                <w:color w:val="000000"/>
                <w:sz w:val="20"/>
                <w:szCs w:val="20"/>
              </w:rPr>
              <w:t xml:space="preserve"> Bjaanæs1,2, </w:t>
            </w:r>
            <w:proofErr w:type="spellStart"/>
            <w:r w:rsidRPr="00E82530">
              <w:rPr>
                <w:rFonts w:cs="Verdana"/>
                <w:bCs/>
                <w:color w:val="000000"/>
                <w:sz w:val="20"/>
                <w:szCs w:val="20"/>
              </w:rPr>
              <w:t>Marissa</w:t>
            </w:r>
            <w:proofErr w:type="spellEnd"/>
            <w:r w:rsidRPr="00E82530">
              <w:rPr>
                <w:rFonts w:cs="Verdana"/>
                <w:bCs/>
                <w:color w:val="000000"/>
                <w:sz w:val="20"/>
                <w:szCs w:val="20"/>
              </w:rPr>
              <w:t xml:space="preserve"> LeBlanc3, Are M. Holm4, </w:t>
            </w:r>
            <w:proofErr w:type="spellStart"/>
            <w:r w:rsidRPr="00E82530">
              <w:rPr>
                <w:rFonts w:cs="Verdana"/>
                <w:bCs/>
                <w:color w:val="000000"/>
                <w:sz w:val="20"/>
                <w:szCs w:val="20"/>
              </w:rPr>
              <w:t>Nils</w:t>
            </w:r>
            <w:proofErr w:type="spellEnd"/>
            <w:r w:rsidRPr="00E82530">
              <w:rPr>
                <w:rFonts w:cs="Verdana"/>
                <w:bCs/>
                <w:color w:val="000000"/>
                <w:sz w:val="20"/>
                <w:szCs w:val="20"/>
              </w:rPr>
              <w:t xml:space="preserve"> Bolstad5, Luis Rubio6, Juan Carlos Peñalver7, José Cervera8, Julia Cruz Mojarrieta9, Jose Antonio López-Guerrero6, </w:t>
            </w:r>
            <w:proofErr w:type="spellStart"/>
            <w:r w:rsidRPr="00E82530">
              <w:rPr>
                <w:rFonts w:cs="Verdana"/>
                <w:bCs/>
                <w:color w:val="000000"/>
                <w:sz w:val="20"/>
                <w:szCs w:val="20"/>
              </w:rPr>
              <w:t>Odd</w:t>
            </w:r>
            <w:proofErr w:type="spellEnd"/>
            <w:r w:rsidRPr="00E82530">
              <w:rPr>
                <w:rFonts w:cs="Verdan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2530">
              <w:rPr>
                <w:rFonts w:cs="Verdana"/>
                <w:bCs/>
                <w:color w:val="000000"/>
                <w:sz w:val="20"/>
                <w:szCs w:val="20"/>
              </w:rPr>
              <w:t>Terje</w:t>
            </w:r>
            <w:proofErr w:type="spellEnd"/>
            <w:r w:rsidRPr="00E82530">
              <w:rPr>
                <w:rFonts w:cs="Verdana"/>
                <w:bCs/>
                <w:color w:val="000000"/>
                <w:sz w:val="20"/>
                <w:szCs w:val="20"/>
              </w:rPr>
              <w:t xml:space="preserve"> Brustugun1,2, </w:t>
            </w:r>
            <w:proofErr w:type="spellStart"/>
            <w:r w:rsidRPr="00E82530">
              <w:rPr>
                <w:rFonts w:cs="Verdana"/>
                <w:bCs/>
                <w:color w:val="000000"/>
                <w:sz w:val="20"/>
                <w:szCs w:val="20"/>
              </w:rPr>
              <w:t>Åslaug</w:t>
            </w:r>
            <w:proofErr w:type="spellEnd"/>
            <w:r w:rsidRPr="00E82530">
              <w:rPr>
                <w:rFonts w:cs="Verdan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2530">
              <w:rPr>
                <w:rFonts w:cs="Verdana"/>
                <w:bCs/>
                <w:color w:val="000000"/>
                <w:sz w:val="20"/>
                <w:szCs w:val="20"/>
              </w:rPr>
              <w:t>Helland</w:t>
            </w:r>
            <w:proofErr w:type="spellEnd"/>
          </w:p>
        </w:tc>
        <w:tc>
          <w:tcPr>
            <w:tcW w:w="1984" w:type="dxa"/>
          </w:tcPr>
          <w:p w14:paraId="19BDCAD7" w14:textId="77777777" w:rsidR="00E82530" w:rsidRPr="00E82530" w:rsidRDefault="00E82530" w:rsidP="004D4F78">
            <w:pPr>
              <w:autoSpaceDE w:val="0"/>
              <w:autoSpaceDN w:val="0"/>
              <w:adjustRightInd w:val="0"/>
              <w:rPr>
                <w:rFonts w:cs="Cambria"/>
                <w:sz w:val="20"/>
                <w:szCs w:val="20"/>
                <w:lang w:val="en-US"/>
              </w:rPr>
            </w:pPr>
            <w:r w:rsidRPr="00E82530">
              <w:rPr>
                <w:rFonts w:cs="Cambria"/>
                <w:sz w:val="20"/>
                <w:szCs w:val="20"/>
                <w:lang w:val="en-US"/>
              </w:rPr>
              <w:t xml:space="preserve">A unique set of 6 circulating microRNAs for early detection of </w:t>
            </w:r>
            <w:proofErr w:type="spellStart"/>
            <w:proofErr w:type="gramStart"/>
            <w:r w:rsidRPr="00E82530">
              <w:rPr>
                <w:rFonts w:cs="Cambria"/>
                <w:sz w:val="20"/>
                <w:szCs w:val="20"/>
                <w:lang w:val="en-US"/>
              </w:rPr>
              <w:t>non small</w:t>
            </w:r>
            <w:proofErr w:type="spellEnd"/>
            <w:proofErr w:type="gramEnd"/>
            <w:r w:rsidRPr="00E82530">
              <w:rPr>
                <w:rFonts w:cs="Cambria"/>
                <w:sz w:val="20"/>
                <w:szCs w:val="20"/>
                <w:lang w:val="en-US"/>
              </w:rPr>
              <w:t xml:space="preserve"> cell lung cancer</w:t>
            </w:r>
          </w:p>
        </w:tc>
        <w:tc>
          <w:tcPr>
            <w:tcW w:w="709" w:type="dxa"/>
          </w:tcPr>
          <w:p w14:paraId="211B6C3B" w14:textId="77777777" w:rsidR="00E82530" w:rsidRPr="00E82530" w:rsidRDefault="00E82530" w:rsidP="004D4F78">
            <w:pPr>
              <w:rPr>
                <w:sz w:val="20"/>
                <w:szCs w:val="20"/>
                <w:lang w:val="en-US"/>
              </w:rPr>
            </w:pPr>
            <w:r w:rsidRPr="00E82530">
              <w:rPr>
                <w:sz w:val="20"/>
                <w:szCs w:val="20"/>
                <w:lang w:val="en-US"/>
              </w:rPr>
              <w:t>2016</w:t>
            </w:r>
          </w:p>
        </w:tc>
        <w:tc>
          <w:tcPr>
            <w:tcW w:w="2268" w:type="dxa"/>
          </w:tcPr>
          <w:p w14:paraId="3413C9E8" w14:textId="77777777" w:rsidR="00E82530" w:rsidRPr="00E82530" w:rsidRDefault="00E82530" w:rsidP="004D4F78">
            <w:pPr>
              <w:autoSpaceDE w:val="0"/>
              <w:autoSpaceDN w:val="0"/>
              <w:adjustRightInd w:val="0"/>
              <w:rPr>
                <w:rFonts w:cs="Cambria"/>
                <w:sz w:val="20"/>
                <w:szCs w:val="20"/>
              </w:rPr>
            </w:pPr>
            <w:proofErr w:type="spellStart"/>
            <w:r w:rsidRPr="00E82530">
              <w:rPr>
                <w:rFonts w:cs="Cambria"/>
                <w:sz w:val="20"/>
                <w:szCs w:val="20"/>
              </w:rPr>
              <w:t>Oncotarget</w:t>
            </w:r>
            <w:proofErr w:type="spellEnd"/>
          </w:p>
        </w:tc>
        <w:tc>
          <w:tcPr>
            <w:tcW w:w="1276" w:type="dxa"/>
          </w:tcPr>
          <w:p w14:paraId="7635A524" w14:textId="77777777" w:rsidR="00E82530" w:rsidRPr="00E82530" w:rsidRDefault="00E82530" w:rsidP="00F1037E">
            <w:pPr>
              <w:jc w:val="both"/>
              <w:rPr>
                <w:sz w:val="20"/>
                <w:szCs w:val="20"/>
                <w:lang w:val="en-US"/>
              </w:rPr>
            </w:pPr>
            <w:r w:rsidRPr="00E82530">
              <w:rPr>
                <w:sz w:val="20"/>
                <w:szCs w:val="20"/>
                <w:lang w:val="en-US"/>
              </w:rPr>
              <w:t>5.008</w:t>
            </w:r>
          </w:p>
        </w:tc>
      </w:tr>
      <w:tr w:rsidR="00E82530" w:rsidRPr="00E82530" w14:paraId="47BECE07" w14:textId="77777777" w:rsidTr="004D4F78">
        <w:trPr>
          <w:cantSplit/>
          <w:trHeight w:val="1027"/>
        </w:trPr>
        <w:tc>
          <w:tcPr>
            <w:tcW w:w="6516" w:type="dxa"/>
          </w:tcPr>
          <w:p w14:paraId="2FEDAE56" w14:textId="77777777" w:rsidR="00E82530" w:rsidRPr="00703F29" w:rsidRDefault="00703F29" w:rsidP="00703F29">
            <w:pPr>
              <w:autoSpaceDE w:val="0"/>
              <w:autoSpaceDN w:val="0"/>
              <w:adjustRightInd w:val="0"/>
              <w:rPr>
                <w:rFonts w:cs="Cambria"/>
                <w:sz w:val="20"/>
                <w:szCs w:val="20"/>
                <w:lang w:val="es-ES_tradnl"/>
              </w:rPr>
            </w:pPr>
            <w:r w:rsidRPr="00703F29">
              <w:rPr>
                <w:rFonts w:cs="Cambria"/>
                <w:sz w:val="20"/>
                <w:szCs w:val="20"/>
                <w:lang w:val="es-ES_tradnl"/>
              </w:rPr>
              <w:t xml:space="preserve">González-Vela MD, Curiel-Olmo S, </w:t>
            </w:r>
            <w:proofErr w:type="spellStart"/>
            <w:r w:rsidRPr="00703F29">
              <w:rPr>
                <w:rFonts w:cs="Cambria"/>
                <w:sz w:val="20"/>
                <w:szCs w:val="20"/>
                <w:lang w:val="es-ES_tradnl"/>
              </w:rPr>
              <w:t>Derdak</w:t>
            </w:r>
            <w:proofErr w:type="spellEnd"/>
            <w:r w:rsidRPr="00703F29">
              <w:rPr>
                <w:rFonts w:cs="Cambria"/>
                <w:sz w:val="20"/>
                <w:szCs w:val="20"/>
                <w:lang w:val="es-ES_tradnl"/>
              </w:rPr>
              <w:t xml:space="preserve"> S, </w:t>
            </w:r>
            <w:proofErr w:type="spellStart"/>
            <w:r w:rsidRPr="00703F29">
              <w:rPr>
                <w:rFonts w:cs="Cambria"/>
                <w:sz w:val="20"/>
                <w:szCs w:val="20"/>
                <w:lang w:val="es-ES_tradnl"/>
              </w:rPr>
              <w:t>Be</w:t>
            </w:r>
            <w:r>
              <w:rPr>
                <w:rFonts w:cs="Cambria"/>
                <w:sz w:val="20"/>
                <w:szCs w:val="20"/>
                <w:lang w:val="es-ES_tradnl"/>
              </w:rPr>
              <w:t>ltran</w:t>
            </w:r>
            <w:proofErr w:type="spellEnd"/>
            <w:r>
              <w:rPr>
                <w:rFonts w:cs="Cambria"/>
                <w:sz w:val="20"/>
                <w:szCs w:val="20"/>
                <w:lang w:val="es-ES_tradnl"/>
              </w:rPr>
              <w:t xml:space="preserve"> S, </w:t>
            </w:r>
            <w:proofErr w:type="spellStart"/>
            <w:r>
              <w:rPr>
                <w:rFonts w:cs="Cambria"/>
                <w:sz w:val="20"/>
                <w:szCs w:val="20"/>
                <w:lang w:val="es-ES_tradnl"/>
              </w:rPr>
              <w:t>Santibañez</w:t>
            </w:r>
            <w:proofErr w:type="spellEnd"/>
            <w:r>
              <w:rPr>
                <w:rFonts w:cs="Cambria"/>
                <w:sz w:val="20"/>
                <w:szCs w:val="20"/>
                <w:lang w:val="es-ES_tradnl"/>
              </w:rPr>
              <w:t xml:space="preserve"> M, Martínez </w:t>
            </w:r>
            <w:r w:rsidRPr="00703F29">
              <w:rPr>
                <w:rFonts w:cs="Cambria"/>
                <w:sz w:val="20"/>
                <w:szCs w:val="20"/>
                <w:lang w:val="es-ES_tradnl"/>
              </w:rPr>
              <w:t xml:space="preserve">N, Castillo-Trujillo A, </w:t>
            </w:r>
            <w:proofErr w:type="spellStart"/>
            <w:r w:rsidRPr="00703F29">
              <w:rPr>
                <w:rFonts w:cs="Cambria"/>
                <w:sz w:val="20"/>
                <w:szCs w:val="20"/>
                <w:lang w:val="es-ES_tradnl"/>
              </w:rPr>
              <w:t>Gut</w:t>
            </w:r>
            <w:proofErr w:type="spellEnd"/>
            <w:r w:rsidRPr="00703F29">
              <w:rPr>
                <w:rFonts w:cs="Cambria"/>
                <w:sz w:val="20"/>
                <w:szCs w:val="20"/>
                <w:lang w:val="es-ES_tradnl"/>
              </w:rPr>
              <w:t xml:space="preserve"> M, Sánchez-Pacheco R, Almaraz C, Cereceda L, </w:t>
            </w:r>
            <w:proofErr w:type="spellStart"/>
            <w:r w:rsidRPr="00703F29">
              <w:rPr>
                <w:rFonts w:cs="Cambria"/>
                <w:sz w:val="20"/>
                <w:szCs w:val="20"/>
                <w:lang w:val="es-ES_tradnl"/>
              </w:rPr>
              <w:t>Llombart</w:t>
            </w:r>
            <w:proofErr w:type="spellEnd"/>
            <w:r>
              <w:rPr>
                <w:rFonts w:cs="Cambria"/>
                <w:sz w:val="20"/>
                <w:szCs w:val="20"/>
                <w:lang w:val="es-ES_tradnl"/>
              </w:rPr>
              <w:t xml:space="preserve"> </w:t>
            </w:r>
            <w:r w:rsidRPr="00703F29">
              <w:rPr>
                <w:rFonts w:cs="Cambria"/>
                <w:sz w:val="20"/>
                <w:szCs w:val="20"/>
                <w:lang w:val="es-ES_tradnl"/>
              </w:rPr>
              <w:t xml:space="preserve">B, Agraz-Doblas A, </w:t>
            </w:r>
            <w:proofErr w:type="spellStart"/>
            <w:r w:rsidRPr="00703F29">
              <w:rPr>
                <w:rFonts w:cs="Cambria"/>
                <w:sz w:val="20"/>
                <w:szCs w:val="20"/>
                <w:lang w:val="es-ES_tradnl"/>
              </w:rPr>
              <w:t>Revert</w:t>
            </w:r>
            <w:proofErr w:type="spellEnd"/>
            <w:r w:rsidRPr="00703F29">
              <w:rPr>
                <w:rFonts w:cs="Cambria"/>
                <w:sz w:val="20"/>
                <w:szCs w:val="20"/>
                <w:lang w:val="es-ES_tradnl"/>
              </w:rPr>
              <w:t xml:space="preserve">-Arce J, López Guerrero JA, </w:t>
            </w:r>
            <w:proofErr w:type="spellStart"/>
            <w:r w:rsidRPr="00703F29">
              <w:rPr>
                <w:rFonts w:cs="Cambria"/>
                <w:sz w:val="20"/>
                <w:szCs w:val="20"/>
                <w:lang w:val="es-ES_tradnl"/>
              </w:rPr>
              <w:t>Mollejo</w:t>
            </w:r>
            <w:proofErr w:type="spellEnd"/>
            <w:r w:rsidRPr="00703F29">
              <w:rPr>
                <w:rFonts w:cs="Cambria"/>
                <w:sz w:val="20"/>
                <w:szCs w:val="20"/>
                <w:lang w:val="es-ES_tradnl"/>
              </w:rPr>
              <w:t xml:space="preserve"> M, Marrón PI,</w:t>
            </w:r>
            <w:r>
              <w:rPr>
                <w:rFonts w:cs="Cambria"/>
                <w:sz w:val="20"/>
                <w:szCs w:val="20"/>
                <w:lang w:val="es-ES_tradnl"/>
              </w:rPr>
              <w:t xml:space="preserve"> </w:t>
            </w:r>
            <w:r w:rsidRPr="00703F29">
              <w:rPr>
                <w:rFonts w:cs="Cambria"/>
                <w:sz w:val="20"/>
                <w:szCs w:val="20"/>
                <w:lang w:val="es-ES_tradnl"/>
              </w:rPr>
              <w:t xml:space="preserve">Ortiz-Romero P, </w:t>
            </w:r>
            <w:proofErr w:type="spellStart"/>
            <w:r w:rsidRPr="00703F29">
              <w:rPr>
                <w:rFonts w:cs="Cambria"/>
                <w:sz w:val="20"/>
                <w:szCs w:val="20"/>
                <w:lang w:val="es-ES_tradnl"/>
              </w:rPr>
              <w:t>Fernandez</w:t>
            </w:r>
            <w:proofErr w:type="spellEnd"/>
            <w:r w:rsidRPr="00703F29">
              <w:rPr>
                <w:rFonts w:cs="Cambria"/>
                <w:sz w:val="20"/>
                <w:szCs w:val="20"/>
                <w:lang w:val="es-ES_tradnl"/>
              </w:rPr>
              <w:t xml:space="preserve">-Cuesta L, Varela I, </w:t>
            </w:r>
            <w:proofErr w:type="spellStart"/>
            <w:r w:rsidRPr="00703F29">
              <w:rPr>
                <w:rFonts w:cs="Cambria"/>
                <w:sz w:val="20"/>
                <w:szCs w:val="20"/>
                <w:lang w:val="es-ES_tradnl"/>
              </w:rPr>
              <w:t>Gut</w:t>
            </w:r>
            <w:proofErr w:type="spellEnd"/>
            <w:r w:rsidRPr="00703F29">
              <w:rPr>
                <w:rFonts w:cs="Cambria"/>
                <w:sz w:val="20"/>
                <w:szCs w:val="20"/>
                <w:lang w:val="es-ES_tradnl"/>
              </w:rPr>
              <w:t xml:space="preserve"> I, </w:t>
            </w:r>
            <w:proofErr w:type="spellStart"/>
            <w:r w:rsidRPr="00703F29">
              <w:rPr>
                <w:rFonts w:cs="Cambria"/>
                <w:sz w:val="20"/>
                <w:szCs w:val="20"/>
                <w:lang w:val="es-ES_tradnl"/>
              </w:rPr>
              <w:t>Cerroni</w:t>
            </w:r>
            <w:proofErr w:type="spellEnd"/>
            <w:r w:rsidRPr="00703F29">
              <w:rPr>
                <w:rFonts w:cs="Cambria"/>
                <w:sz w:val="20"/>
                <w:szCs w:val="20"/>
                <w:lang w:val="es-ES_tradnl"/>
              </w:rPr>
              <w:t xml:space="preserve"> L, </w:t>
            </w:r>
            <w:proofErr w:type="spellStart"/>
            <w:r w:rsidRPr="00703F29">
              <w:rPr>
                <w:rFonts w:cs="Cambria"/>
                <w:sz w:val="20"/>
                <w:szCs w:val="20"/>
                <w:lang w:val="es-ES_tradnl"/>
              </w:rPr>
              <w:t>Piris</w:t>
            </w:r>
            <w:proofErr w:type="spellEnd"/>
            <w:r w:rsidRPr="00703F29">
              <w:rPr>
                <w:rFonts w:cs="Cambria"/>
                <w:sz w:val="20"/>
                <w:szCs w:val="20"/>
                <w:lang w:val="es-ES_tradnl"/>
              </w:rPr>
              <w:t xml:space="preserve"> MÁ, Vaqué</w:t>
            </w:r>
            <w:r>
              <w:rPr>
                <w:rFonts w:cs="Cambria"/>
                <w:sz w:val="20"/>
                <w:szCs w:val="20"/>
                <w:lang w:val="es-ES_tradnl"/>
              </w:rPr>
              <w:t xml:space="preserve"> </w:t>
            </w:r>
            <w:r w:rsidRPr="00703F29">
              <w:rPr>
                <w:rFonts w:cs="Cambria"/>
                <w:sz w:val="20"/>
                <w:szCs w:val="20"/>
                <w:lang w:val="es-ES_tradnl"/>
              </w:rPr>
              <w:t>JP</w:t>
            </w:r>
          </w:p>
        </w:tc>
        <w:tc>
          <w:tcPr>
            <w:tcW w:w="1984" w:type="dxa"/>
          </w:tcPr>
          <w:p w14:paraId="4C45F88E" w14:textId="77777777" w:rsidR="00E82530" w:rsidRPr="00E82530" w:rsidRDefault="00E82530" w:rsidP="004D4F78">
            <w:pPr>
              <w:autoSpaceDE w:val="0"/>
              <w:autoSpaceDN w:val="0"/>
              <w:adjustRightInd w:val="0"/>
              <w:rPr>
                <w:rFonts w:cs="Cambria"/>
                <w:sz w:val="20"/>
                <w:szCs w:val="20"/>
                <w:lang w:val="en-US"/>
              </w:rPr>
            </w:pPr>
            <w:r w:rsidRPr="00E82530">
              <w:rPr>
                <w:rFonts w:cs="Cambria"/>
                <w:sz w:val="20"/>
                <w:szCs w:val="20"/>
                <w:lang w:val="en-US"/>
              </w:rPr>
              <w:t xml:space="preserve">Shared Oncogenic Pathways Implicated in Both Virus-Positive and UV-Induced Merkel Cell </w:t>
            </w:r>
            <w:proofErr w:type="spellStart"/>
            <w:r w:rsidRPr="00E82530">
              <w:rPr>
                <w:rFonts w:cs="Cambria"/>
                <w:sz w:val="20"/>
                <w:szCs w:val="20"/>
                <w:lang w:val="en-US"/>
              </w:rPr>
              <w:t>Carcinom</w:t>
            </w:r>
            <w:proofErr w:type="spellEnd"/>
          </w:p>
        </w:tc>
        <w:tc>
          <w:tcPr>
            <w:tcW w:w="709" w:type="dxa"/>
          </w:tcPr>
          <w:p w14:paraId="335D2BDD" w14:textId="77777777" w:rsidR="00E82530" w:rsidRPr="00E82530" w:rsidRDefault="00E82530" w:rsidP="004D4F78">
            <w:pPr>
              <w:rPr>
                <w:sz w:val="20"/>
                <w:szCs w:val="20"/>
                <w:lang w:val="en-US"/>
              </w:rPr>
            </w:pPr>
            <w:r w:rsidRPr="00E82530">
              <w:rPr>
                <w:sz w:val="20"/>
                <w:szCs w:val="20"/>
                <w:lang w:val="en-US"/>
              </w:rPr>
              <w:t>2016</w:t>
            </w:r>
          </w:p>
        </w:tc>
        <w:tc>
          <w:tcPr>
            <w:tcW w:w="2268" w:type="dxa"/>
          </w:tcPr>
          <w:p w14:paraId="186893AE" w14:textId="77777777" w:rsidR="00E82530" w:rsidRPr="00E82530" w:rsidRDefault="00E82530" w:rsidP="004D4F78">
            <w:pPr>
              <w:autoSpaceDE w:val="0"/>
              <w:autoSpaceDN w:val="0"/>
              <w:adjustRightInd w:val="0"/>
              <w:rPr>
                <w:rFonts w:cs="Cambria"/>
                <w:sz w:val="20"/>
                <w:szCs w:val="20"/>
              </w:rPr>
            </w:pPr>
            <w:r w:rsidRPr="00E82530">
              <w:rPr>
                <w:rFonts w:cs="Cambria"/>
                <w:sz w:val="20"/>
                <w:szCs w:val="20"/>
              </w:rPr>
              <w:t xml:space="preserve">J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Invest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Dermato</w:t>
            </w:r>
            <w:proofErr w:type="spellEnd"/>
          </w:p>
        </w:tc>
        <w:tc>
          <w:tcPr>
            <w:tcW w:w="1276" w:type="dxa"/>
          </w:tcPr>
          <w:p w14:paraId="7EF63E3E" w14:textId="77777777" w:rsidR="00E82530" w:rsidRPr="00E82530" w:rsidRDefault="00E82530" w:rsidP="00F1037E">
            <w:pPr>
              <w:jc w:val="both"/>
              <w:rPr>
                <w:sz w:val="20"/>
                <w:szCs w:val="20"/>
                <w:lang w:val="en-US"/>
              </w:rPr>
            </w:pPr>
            <w:r w:rsidRPr="00E82530">
              <w:rPr>
                <w:sz w:val="20"/>
                <w:szCs w:val="20"/>
                <w:lang w:val="en-US"/>
              </w:rPr>
              <w:t>7,216</w:t>
            </w:r>
          </w:p>
        </w:tc>
      </w:tr>
      <w:tr w:rsidR="00E82530" w:rsidRPr="00E82530" w14:paraId="5FC2683C" w14:textId="77777777" w:rsidTr="004D4F78">
        <w:trPr>
          <w:cantSplit/>
          <w:trHeight w:val="1027"/>
        </w:trPr>
        <w:tc>
          <w:tcPr>
            <w:tcW w:w="6516" w:type="dxa"/>
          </w:tcPr>
          <w:p w14:paraId="7DF2C5F8" w14:textId="77777777" w:rsidR="00E82530" w:rsidRPr="00E82530" w:rsidRDefault="00E82530" w:rsidP="004D4F78">
            <w:pPr>
              <w:autoSpaceDE w:val="0"/>
              <w:autoSpaceDN w:val="0"/>
              <w:adjustRightInd w:val="0"/>
              <w:rPr>
                <w:rFonts w:cs="Cambria"/>
                <w:sz w:val="20"/>
                <w:szCs w:val="20"/>
              </w:rPr>
            </w:pPr>
            <w:r>
              <w:rPr>
                <w:sz w:val="20"/>
                <w:szCs w:val="20"/>
              </w:rPr>
              <w:t>Moran S, Martínez-</w:t>
            </w:r>
            <w:proofErr w:type="spellStart"/>
            <w:r>
              <w:rPr>
                <w:sz w:val="20"/>
                <w:szCs w:val="20"/>
              </w:rPr>
              <w:t>Cardús</w:t>
            </w:r>
            <w:proofErr w:type="spellEnd"/>
            <w:r>
              <w:rPr>
                <w:sz w:val="20"/>
                <w:szCs w:val="20"/>
              </w:rPr>
              <w:t xml:space="preserve"> A, </w:t>
            </w:r>
            <w:proofErr w:type="spellStart"/>
            <w:r>
              <w:rPr>
                <w:sz w:val="20"/>
                <w:szCs w:val="20"/>
              </w:rPr>
              <w:t>Sayols</w:t>
            </w:r>
            <w:proofErr w:type="spellEnd"/>
            <w:r>
              <w:rPr>
                <w:sz w:val="20"/>
                <w:szCs w:val="20"/>
              </w:rPr>
              <w:t xml:space="preserve"> S, </w:t>
            </w:r>
            <w:proofErr w:type="spellStart"/>
            <w:r>
              <w:rPr>
                <w:sz w:val="20"/>
                <w:szCs w:val="20"/>
              </w:rPr>
              <w:t>Musulén</w:t>
            </w:r>
            <w:proofErr w:type="spellEnd"/>
            <w:r>
              <w:rPr>
                <w:sz w:val="20"/>
                <w:szCs w:val="20"/>
              </w:rPr>
              <w:t xml:space="preserve"> E, </w:t>
            </w:r>
            <w:proofErr w:type="spellStart"/>
            <w:r>
              <w:rPr>
                <w:sz w:val="20"/>
                <w:szCs w:val="20"/>
              </w:rPr>
              <w:t>Balañá</w:t>
            </w:r>
            <w:proofErr w:type="spellEnd"/>
            <w:r>
              <w:rPr>
                <w:sz w:val="20"/>
                <w:szCs w:val="20"/>
              </w:rPr>
              <w:t xml:space="preserve"> C, Estival-</w:t>
            </w:r>
            <w:proofErr w:type="spellStart"/>
            <w:r>
              <w:rPr>
                <w:sz w:val="20"/>
                <w:szCs w:val="20"/>
              </w:rPr>
              <w:t>Gonzalez</w:t>
            </w:r>
            <w:proofErr w:type="spellEnd"/>
            <w:r>
              <w:rPr>
                <w:sz w:val="20"/>
                <w:szCs w:val="20"/>
              </w:rPr>
              <w:t xml:space="preserve"> A, </w:t>
            </w:r>
            <w:proofErr w:type="spellStart"/>
            <w:r>
              <w:rPr>
                <w:sz w:val="20"/>
                <w:szCs w:val="20"/>
              </w:rPr>
              <w:t>Moutinho</w:t>
            </w:r>
            <w:proofErr w:type="spellEnd"/>
            <w:r>
              <w:rPr>
                <w:sz w:val="20"/>
                <w:szCs w:val="20"/>
              </w:rPr>
              <w:t xml:space="preserve"> C, </w:t>
            </w:r>
            <w:proofErr w:type="spellStart"/>
            <w:r>
              <w:rPr>
                <w:sz w:val="20"/>
                <w:szCs w:val="20"/>
              </w:rPr>
              <w:t>Heyn</w:t>
            </w:r>
            <w:proofErr w:type="spellEnd"/>
            <w:r>
              <w:rPr>
                <w:sz w:val="20"/>
                <w:szCs w:val="20"/>
              </w:rPr>
              <w:t xml:space="preserve"> H, </w:t>
            </w:r>
            <w:proofErr w:type="spellStart"/>
            <w:r>
              <w:rPr>
                <w:sz w:val="20"/>
                <w:szCs w:val="20"/>
              </w:rPr>
              <w:t>Diaz</w:t>
            </w:r>
            <w:proofErr w:type="spellEnd"/>
            <w:r>
              <w:rPr>
                <w:sz w:val="20"/>
                <w:szCs w:val="20"/>
              </w:rPr>
              <w:t xml:space="preserve">-Lagares A, de </w:t>
            </w:r>
            <w:proofErr w:type="spellStart"/>
            <w:r>
              <w:rPr>
                <w:sz w:val="20"/>
                <w:szCs w:val="20"/>
              </w:rPr>
              <w:t>Moura</w:t>
            </w:r>
            <w:proofErr w:type="spellEnd"/>
            <w:r>
              <w:rPr>
                <w:sz w:val="20"/>
                <w:szCs w:val="20"/>
              </w:rPr>
              <w:t xml:space="preserve"> MC, Stella GM, </w:t>
            </w:r>
            <w:proofErr w:type="spellStart"/>
            <w:r>
              <w:rPr>
                <w:sz w:val="20"/>
                <w:szCs w:val="20"/>
              </w:rPr>
              <w:t>Comoglio</w:t>
            </w:r>
            <w:proofErr w:type="spellEnd"/>
            <w:r>
              <w:rPr>
                <w:sz w:val="20"/>
                <w:szCs w:val="20"/>
              </w:rPr>
              <w:t xml:space="preserve"> PM, Ruiz-Miró M</w:t>
            </w:r>
            <w:r w:rsidRPr="00E82530">
              <w:rPr>
                <w:sz w:val="20"/>
                <w:szCs w:val="20"/>
              </w:rPr>
              <w:t xml:space="preserve">, </w:t>
            </w:r>
            <w:proofErr w:type="spellStart"/>
            <w:r w:rsidRPr="00E82530">
              <w:rPr>
                <w:sz w:val="20"/>
                <w:szCs w:val="20"/>
              </w:rPr>
              <w:t>Matia</w:t>
            </w:r>
            <w:r>
              <w:rPr>
                <w:sz w:val="20"/>
                <w:szCs w:val="20"/>
              </w:rPr>
              <w:t>s-Guiu</w:t>
            </w:r>
            <w:proofErr w:type="spellEnd"/>
            <w:r>
              <w:rPr>
                <w:sz w:val="20"/>
                <w:szCs w:val="20"/>
              </w:rPr>
              <w:t xml:space="preserve"> X, Pazo-Cid R, Antón A, </w:t>
            </w:r>
            <w:proofErr w:type="spellStart"/>
            <w:r>
              <w:rPr>
                <w:sz w:val="20"/>
                <w:szCs w:val="20"/>
              </w:rPr>
              <w:t>Lopez-Lopez</w:t>
            </w:r>
            <w:proofErr w:type="spellEnd"/>
            <w:r>
              <w:rPr>
                <w:sz w:val="20"/>
                <w:szCs w:val="20"/>
              </w:rPr>
              <w:t xml:space="preserve"> R, Soler G, Longo F, Guerra I, </w:t>
            </w:r>
            <w:proofErr w:type="spellStart"/>
            <w:r>
              <w:rPr>
                <w:sz w:val="20"/>
                <w:szCs w:val="20"/>
              </w:rPr>
              <w:t>Fernandez</w:t>
            </w:r>
            <w:proofErr w:type="spellEnd"/>
            <w:r>
              <w:rPr>
                <w:sz w:val="20"/>
                <w:szCs w:val="20"/>
              </w:rPr>
              <w:t xml:space="preserve"> S, </w:t>
            </w:r>
            <w:proofErr w:type="spellStart"/>
            <w:r>
              <w:rPr>
                <w:sz w:val="20"/>
                <w:szCs w:val="20"/>
              </w:rPr>
              <w:t>Assenov</w:t>
            </w:r>
            <w:proofErr w:type="spellEnd"/>
            <w:r>
              <w:rPr>
                <w:sz w:val="20"/>
                <w:szCs w:val="20"/>
              </w:rPr>
              <w:t xml:space="preserve"> Y, </w:t>
            </w:r>
            <w:proofErr w:type="spellStart"/>
            <w:r>
              <w:rPr>
                <w:sz w:val="20"/>
                <w:szCs w:val="20"/>
              </w:rPr>
              <w:t>Plass</w:t>
            </w:r>
            <w:proofErr w:type="spellEnd"/>
            <w:r>
              <w:rPr>
                <w:sz w:val="20"/>
                <w:szCs w:val="20"/>
              </w:rPr>
              <w:t xml:space="preserve"> C, Morales R, Carles J, </w:t>
            </w:r>
            <w:proofErr w:type="spellStart"/>
            <w:r>
              <w:rPr>
                <w:sz w:val="20"/>
                <w:szCs w:val="20"/>
              </w:rPr>
              <w:t>Bowtell</w:t>
            </w:r>
            <w:proofErr w:type="spellEnd"/>
            <w:r>
              <w:rPr>
                <w:sz w:val="20"/>
                <w:szCs w:val="20"/>
              </w:rPr>
              <w:t xml:space="preserve"> D, </w:t>
            </w:r>
            <w:proofErr w:type="spellStart"/>
            <w:r>
              <w:rPr>
                <w:sz w:val="20"/>
                <w:szCs w:val="20"/>
              </w:rPr>
              <w:t>Mileshkin</w:t>
            </w:r>
            <w:proofErr w:type="spellEnd"/>
            <w:r>
              <w:rPr>
                <w:sz w:val="20"/>
                <w:szCs w:val="20"/>
              </w:rPr>
              <w:t xml:space="preserve"> L, </w:t>
            </w:r>
            <w:proofErr w:type="spellStart"/>
            <w:r>
              <w:rPr>
                <w:sz w:val="20"/>
                <w:szCs w:val="20"/>
              </w:rPr>
              <w:t>Sia</w:t>
            </w:r>
            <w:proofErr w:type="spellEnd"/>
            <w:r>
              <w:rPr>
                <w:sz w:val="20"/>
                <w:szCs w:val="20"/>
              </w:rPr>
              <w:t xml:space="preserve"> D, </w:t>
            </w:r>
            <w:proofErr w:type="spellStart"/>
            <w:r>
              <w:rPr>
                <w:sz w:val="20"/>
                <w:szCs w:val="20"/>
              </w:rPr>
              <w:t>Tothill</w:t>
            </w:r>
            <w:proofErr w:type="spellEnd"/>
            <w:r>
              <w:rPr>
                <w:sz w:val="20"/>
                <w:szCs w:val="20"/>
              </w:rPr>
              <w:t xml:space="preserve"> R, Tabernero J, </w:t>
            </w:r>
            <w:proofErr w:type="spellStart"/>
            <w:r>
              <w:rPr>
                <w:sz w:val="20"/>
                <w:szCs w:val="20"/>
              </w:rPr>
              <w:t>Llovet</w:t>
            </w:r>
            <w:proofErr w:type="spellEnd"/>
            <w:r>
              <w:rPr>
                <w:sz w:val="20"/>
                <w:szCs w:val="20"/>
              </w:rPr>
              <w:t xml:space="preserve"> JM, </w:t>
            </w:r>
            <w:proofErr w:type="spellStart"/>
            <w:r>
              <w:rPr>
                <w:sz w:val="20"/>
                <w:szCs w:val="20"/>
              </w:rPr>
              <w:t>Esteller</w:t>
            </w:r>
            <w:proofErr w:type="spellEnd"/>
            <w:r>
              <w:rPr>
                <w:sz w:val="20"/>
                <w:szCs w:val="20"/>
              </w:rPr>
              <w:t xml:space="preserve"> M</w:t>
            </w:r>
            <w:r w:rsidRPr="00E82530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14:paraId="65A1BCB8" w14:textId="77777777" w:rsidR="00E82530" w:rsidRPr="00E82530" w:rsidRDefault="00E82530" w:rsidP="004D4F78">
            <w:pPr>
              <w:autoSpaceDE w:val="0"/>
              <w:autoSpaceDN w:val="0"/>
              <w:adjustRightInd w:val="0"/>
              <w:rPr>
                <w:rFonts w:cs="Cambria"/>
                <w:sz w:val="20"/>
                <w:szCs w:val="20"/>
                <w:lang w:val="en-US"/>
              </w:rPr>
            </w:pPr>
            <w:r w:rsidRPr="00E82530">
              <w:rPr>
                <w:rFonts w:cs="Cambria"/>
                <w:sz w:val="20"/>
                <w:szCs w:val="20"/>
                <w:lang w:val="en-US"/>
              </w:rPr>
              <w:t xml:space="preserve">Epigenetic profiling to classify cancer of unknown primary: a </w:t>
            </w:r>
            <w:proofErr w:type="spellStart"/>
            <w:r w:rsidRPr="00E82530">
              <w:rPr>
                <w:rFonts w:cs="Cambria"/>
                <w:sz w:val="20"/>
                <w:szCs w:val="20"/>
                <w:lang w:val="en-US"/>
              </w:rPr>
              <w:t>multicentre</w:t>
            </w:r>
            <w:proofErr w:type="spellEnd"/>
            <w:r w:rsidRPr="00E82530">
              <w:rPr>
                <w:rFonts w:cs="Cambria"/>
                <w:sz w:val="20"/>
                <w:szCs w:val="20"/>
                <w:lang w:val="en-US"/>
              </w:rPr>
              <w:t>, retrospective analysis</w:t>
            </w:r>
          </w:p>
        </w:tc>
        <w:tc>
          <w:tcPr>
            <w:tcW w:w="709" w:type="dxa"/>
          </w:tcPr>
          <w:p w14:paraId="08D1C1FA" w14:textId="77777777" w:rsidR="00E82530" w:rsidRPr="00E82530" w:rsidRDefault="00E82530" w:rsidP="004D4F78">
            <w:pPr>
              <w:rPr>
                <w:sz w:val="20"/>
                <w:szCs w:val="20"/>
                <w:lang w:val="en-US"/>
              </w:rPr>
            </w:pPr>
            <w:r w:rsidRPr="00E82530">
              <w:rPr>
                <w:sz w:val="20"/>
                <w:szCs w:val="20"/>
                <w:lang w:val="en-US"/>
              </w:rPr>
              <w:t>2016</w:t>
            </w:r>
          </w:p>
        </w:tc>
        <w:tc>
          <w:tcPr>
            <w:tcW w:w="2268" w:type="dxa"/>
          </w:tcPr>
          <w:p w14:paraId="720B5335" w14:textId="77777777" w:rsidR="00E82530" w:rsidRPr="00E82530" w:rsidRDefault="00E82530" w:rsidP="004D4F78">
            <w:pPr>
              <w:autoSpaceDE w:val="0"/>
              <w:autoSpaceDN w:val="0"/>
              <w:adjustRightInd w:val="0"/>
              <w:rPr>
                <w:rFonts w:cs="Cambria"/>
                <w:sz w:val="20"/>
                <w:szCs w:val="20"/>
              </w:rPr>
            </w:pPr>
            <w:proofErr w:type="spellStart"/>
            <w:r w:rsidRPr="00E82530">
              <w:rPr>
                <w:rFonts w:cs="Cambria"/>
                <w:sz w:val="20"/>
                <w:szCs w:val="20"/>
              </w:rPr>
              <w:t>Lancet</w:t>
            </w:r>
            <w:proofErr w:type="spellEnd"/>
            <w:r w:rsidRPr="00E82530">
              <w:rPr>
                <w:rFonts w:cs="Cambria"/>
                <w:sz w:val="20"/>
                <w:szCs w:val="20"/>
              </w:rPr>
              <w:t xml:space="preserve"> </w:t>
            </w:r>
            <w:proofErr w:type="spellStart"/>
            <w:r w:rsidRPr="00E82530">
              <w:rPr>
                <w:rFonts w:cs="Cambria"/>
                <w:sz w:val="20"/>
                <w:szCs w:val="20"/>
              </w:rPr>
              <w:t>Oncol</w:t>
            </w:r>
            <w:proofErr w:type="spellEnd"/>
          </w:p>
        </w:tc>
        <w:tc>
          <w:tcPr>
            <w:tcW w:w="1276" w:type="dxa"/>
          </w:tcPr>
          <w:p w14:paraId="37840BB8" w14:textId="77777777" w:rsidR="00E82530" w:rsidRPr="00E82530" w:rsidRDefault="00E82530" w:rsidP="00F1037E">
            <w:pPr>
              <w:jc w:val="both"/>
              <w:rPr>
                <w:sz w:val="20"/>
                <w:szCs w:val="20"/>
                <w:lang w:val="en-US"/>
              </w:rPr>
            </w:pPr>
            <w:r w:rsidRPr="00E82530">
              <w:rPr>
                <w:sz w:val="20"/>
                <w:szCs w:val="20"/>
                <w:lang w:val="en-US"/>
              </w:rPr>
              <w:t>24,725</w:t>
            </w:r>
          </w:p>
        </w:tc>
      </w:tr>
      <w:tr w:rsidR="00E82530" w:rsidRPr="00E82530" w14:paraId="473BC12F" w14:textId="77777777" w:rsidTr="004D4F78">
        <w:trPr>
          <w:cantSplit/>
          <w:trHeight w:val="1027"/>
        </w:trPr>
        <w:tc>
          <w:tcPr>
            <w:tcW w:w="6516" w:type="dxa"/>
          </w:tcPr>
          <w:p w14:paraId="4025B032" w14:textId="77777777" w:rsidR="00E82530" w:rsidRPr="00E82530" w:rsidRDefault="00E82530" w:rsidP="00E82530">
            <w:pPr>
              <w:autoSpaceDE w:val="0"/>
              <w:autoSpaceDN w:val="0"/>
              <w:adjustRightInd w:val="0"/>
              <w:rPr>
                <w:rFonts w:cs="Cambria"/>
                <w:sz w:val="20"/>
                <w:szCs w:val="20"/>
                <w:lang w:val="es-ES_tradnl"/>
              </w:rPr>
            </w:pPr>
            <w:proofErr w:type="spellStart"/>
            <w:r w:rsidRPr="00E82530">
              <w:rPr>
                <w:rFonts w:cs="Cambria"/>
                <w:sz w:val="20"/>
                <w:szCs w:val="20"/>
                <w:lang w:val="es-ES_tradnl"/>
              </w:rPr>
              <w:t>Mancarella</w:t>
            </w:r>
            <w:proofErr w:type="spellEnd"/>
            <w:r w:rsidRPr="00E82530">
              <w:rPr>
                <w:rFonts w:cs="Cambria"/>
                <w:sz w:val="20"/>
                <w:szCs w:val="20"/>
                <w:lang w:val="es-ES_tradnl"/>
              </w:rPr>
              <w:t xml:space="preserve"> C, Casanova-Salas I, Calatrava </w:t>
            </w:r>
            <w:r>
              <w:rPr>
                <w:rFonts w:cs="Cambria"/>
                <w:sz w:val="20"/>
                <w:szCs w:val="20"/>
                <w:lang w:val="es-ES_tradnl"/>
              </w:rPr>
              <w:t xml:space="preserve">A, García-Flores M, </w:t>
            </w:r>
            <w:proofErr w:type="spellStart"/>
            <w:r>
              <w:rPr>
                <w:rFonts w:cs="Cambria"/>
                <w:sz w:val="20"/>
                <w:szCs w:val="20"/>
                <w:lang w:val="es-ES_tradnl"/>
              </w:rPr>
              <w:t>Garofalo</w:t>
            </w:r>
            <w:proofErr w:type="spellEnd"/>
            <w:r>
              <w:rPr>
                <w:rFonts w:cs="Cambria"/>
                <w:sz w:val="20"/>
                <w:szCs w:val="20"/>
                <w:lang w:val="es-ES_tradnl"/>
              </w:rPr>
              <w:t xml:space="preserve"> C, </w:t>
            </w:r>
            <w:proofErr w:type="spellStart"/>
            <w:r w:rsidRPr="00E82530">
              <w:rPr>
                <w:rFonts w:cs="Cambria"/>
                <w:sz w:val="20"/>
                <w:szCs w:val="20"/>
                <w:lang w:val="es-ES_tradnl"/>
              </w:rPr>
              <w:t>Grilli</w:t>
            </w:r>
            <w:proofErr w:type="spellEnd"/>
            <w:r w:rsidRPr="00E82530">
              <w:rPr>
                <w:rFonts w:cs="Cambria"/>
                <w:sz w:val="20"/>
                <w:szCs w:val="20"/>
                <w:lang w:val="es-ES_tradnl"/>
              </w:rPr>
              <w:t xml:space="preserve"> A, Rubio-Briones J, </w:t>
            </w:r>
            <w:proofErr w:type="spellStart"/>
            <w:r w:rsidRPr="00E82530">
              <w:rPr>
                <w:rFonts w:cs="Cambria"/>
                <w:sz w:val="20"/>
                <w:szCs w:val="20"/>
                <w:lang w:val="es-ES_tradnl"/>
              </w:rPr>
              <w:t>Scotlandi</w:t>
            </w:r>
            <w:proofErr w:type="spellEnd"/>
            <w:r w:rsidRPr="00E82530">
              <w:rPr>
                <w:rFonts w:cs="Cambria"/>
                <w:sz w:val="20"/>
                <w:szCs w:val="20"/>
                <w:lang w:val="es-ES_tradnl"/>
              </w:rPr>
              <w:t xml:space="preserve"> K, López-Guerrero JA.</w:t>
            </w:r>
          </w:p>
        </w:tc>
        <w:tc>
          <w:tcPr>
            <w:tcW w:w="1984" w:type="dxa"/>
          </w:tcPr>
          <w:p w14:paraId="00E5454F" w14:textId="77777777" w:rsidR="00E82530" w:rsidRPr="00E82530" w:rsidRDefault="00E82530" w:rsidP="00E82530">
            <w:pPr>
              <w:autoSpaceDE w:val="0"/>
              <w:autoSpaceDN w:val="0"/>
              <w:adjustRightInd w:val="0"/>
              <w:rPr>
                <w:rFonts w:cs="Cambria"/>
                <w:sz w:val="20"/>
                <w:szCs w:val="20"/>
                <w:lang w:val="en-US"/>
              </w:rPr>
            </w:pPr>
            <w:r>
              <w:rPr>
                <w:rFonts w:cs="Cambria"/>
                <w:sz w:val="20"/>
                <w:szCs w:val="20"/>
                <w:lang w:val="en-US"/>
              </w:rPr>
              <w:t xml:space="preserve">Insulin-like growth factor 1 receptor </w:t>
            </w:r>
            <w:r w:rsidRPr="00E82530">
              <w:rPr>
                <w:rFonts w:cs="Cambria"/>
                <w:sz w:val="20"/>
                <w:szCs w:val="20"/>
                <w:lang w:val="en-US"/>
              </w:rPr>
              <w:t>affects the survival of primary prostate cancer patients</w:t>
            </w:r>
            <w:r>
              <w:rPr>
                <w:rFonts w:cs="Cambria"/>
                <w:sz w:val="20"/>
                <w:szCs w:val="20"/>
                <w:lang w:val="en-US"/>
              </w:rPr>
              <w:t xml:space="preserve"> </w:t>
            </w:r>
            <w:r w:rsidRPr="00E82530">
              <w:rPr>
                <w:rFonts w:cs="Cambria"/>
                <w:sz w:val="20"/>
                <w:szCs w:val="20"/>
                <w:lang w:val="en-US"/>
              </w:rPr>
              <w:t>depending on TMPRSS2-ERG status.</w:t>
            </w:r>
          </w:p>
        </w:tc>
        <w:tc>
          <w:tcPr>
            <w:tcW w:w="709" w:type="dxa"/>
          </w:tcPr>
          <w:p w14:paraId="76A0A4B0" w14:textId="77777777" w:rsidR="00E82530" w:rsidRPr="00E82530" w:rsidRDefault="00E82530" w:rsidP="004D4F7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2017</w:t>
            </w:r>
          </w:p>
        </w:tc>
        <w:tc>
          <w:tcPr>
            <w:tcW w:w="2268" w:type="dxa"/>
          </w:tcPr>
          <w:p w14:paraId="0BDAEE9A" w14:textId="77777777" w:rsidR="00E82530" w:rsidRPr="00E82530" w:rsidRDefault="00E82530" w:rsidP="004D4F78">
            <w:pPr>
              <w:autoSpaceDE w:val="0"/>
              <w:autoSpaceDN w:val="0"/>
              <w:adjustRightInd w:val="0"/>
              <w:rPr>
                <w:rFonts w:cs="Cambria"/>
                <w:sz w:val="20"/>
                <w:szCs w:val="20"/>
                <w:lang w:val="en-US"/>
              </w:rPr>
            </w:pPr>
            <w:r>
              <w:rPr>
                <w:rFonts w:cs="Cambria"/>
                <w:sz w:val="20"/>
                <w:szCs w:val="20"/>
                <w:lang w:val="en-US"/>
              </w:rPr>
              <w:t>BMC Cancer</w:t>
            </w:r>
          </w:p>
        </w:tc>
        <w:tc>
          <w:tcPr>
            <w:tcW w:w="1276" w:type="dxa"/>
          </w:tcPr>
          <w:p w14:paraId="69002FEF" w14:textId="77777777" w:rsidR="00E82530" w:rsidRPr="00E82530" w:rsidRDefault="00703F29" w:rsidP="00F1037E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3,362</w:t>
            </w:r>
          </w:p>
        </w:tc>
      </w:tr>
      <w:tr w:rsidR="006123F7" w:rsidRPr="007059FA" w14:paraId="1136BDC2" w14:textId="77777777" w:rsidTr="004D4F78">
        <w:trPr>
          <w:cantSplit/>
          <w:trHeight w:val="1027"/>
        </w:trPr>
        <w:tc>
          <w:tcPr>
            <w:tcW w:w="6516" w:type="dxa"/>
          </w:tcPr>
          <w:p w14:paraId="147F2C83" w14:textId="05DFF2C1" w:rsidR="007059FA" w:rsidRPr="007059FA" w:rsidRDefault="007059FA" w:rsidP="007059FA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s-ES_tradnl" w:eastAsia="es-ES_tradnl"/>
              </w:rPr>
            </w:pPr>
            <w:r w:rsidRPr="007059F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s-ES_tradnl" w:eastAsia="es-ES_tradnl"/>
              </w:rPr>
              <w:t>Clara Pérez-Rambla</w:t>
            </w: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s-ES_tradnl" w:eastAsia="es-ES_tradnl"/>
              </w:rPr>
              <w:t xml:space="preserve">, </w:t>
            </w:r>
            <w:r w:rsidRPr="007059F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s-ES_tradnl" w:eastAsia="es-ES_tradnl"/>
              </w:rPr>
              <w:t>Leonor </w:t>
            </w:r>
            <w:proofErr w:type="spellStart"/>
            <w:r w:rsidRPr="007059F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s-ES_tradnl" w:eastAsia="es-ES_tradnl"/>
              </w:rPr>
              <w:t>Puchades</w:t>
            </w:r>
            <w:proofErr w:type="spellEnd"/>
            <w:r w:rsidRPr="007059F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s-ES_tradnl" w:eastAsia="es-ES_tradnl"/>
              </w:rPr>
              <w:t>-Carrasco</w:t>
            </w: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s-ES_tradnl" w:eastAsia="es-ES_tradnl"/>
              </w:rPr>
              <w:t xml:space="preserve"> </w:t>
            </w:r>
            <w:r w:rsidRPr="007059F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s-ES_tradnl" w:eastAsia="es-ES_tradnl"/>
              </w:rPr>
              <w:t>María García-Flores</w:t>
            </w: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s-ES_tradnl" w:eastAsia="es-ES_tradnl"/>
              </w:rPr>
              <w:t xml:space="preserve">, </w:t>
            </w:r>
            <w:r w:rsidRPr="007059F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s-ES_tradnl" w:eastAsia="es-ES_tradnl"/>
              </w:rPr>
              <w:t>José Rubio-Briones</w:t>
            </w: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s-ES_tradnl" w:eastAsia="es-ES_tradnl"/>
              </w:rPr>
              <w:t xml:space="preserve">, </w:t>
            </w:r>
            <w:r w:rsidRPr="007059F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s-ES_tradnl" w:eastAsia="es-ES_tradnl"/>
              </w:rPr>
              <w:t>José Antonio López-Guerrero</w:t>
            </w: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s-ES_tradnl" w:eastAsia="es-ES_tradnl"/>
              </w:rPr>
              <w:t xml:space="preserve">, </w:t>
            </w:r>
            <w:r w:rsidRPr="007059F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s-ES_tradnl" w:eastAsia="es-ES_tradnl"/>
              </w:rPr>
              <w:t>Antonio Pineda-Lucena</w:t>
            </w:r>
          </w:p>
          <w:p w14:paraId="0BA2CFFD" w14:textId="77777777" w:rsidR="006123F7" w:rsidRPr="00E82530" w:rsidRDefault="006123F7" w:rsidP="00E82530">
            <w:pPr>
              <w:autoSpaceDE w:val="0"/>
              <w:autoSpaceDN w:val="0"/>
              <w:adjustRightInd w:val="0"/>
              <w:rPr>
                <w:rFonts w:cs="Cambria"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</w:tcPr>
          <w:p w14:paraId="0011C6CD" w14:textId="6F2407E4" w:rsidR="006123F7" w:rsidRPr="007059FA" w:rsidRDefault="007059FA" w:rsidP="00E82530">
            <w:pPr>
              <w:autoSpaceDE w:val="0"/>
              <w:autoSpaceDN w:val="0"/>
              <w:adjustRightInd w:val="0"/>
              <w:rPr>
                <w:rFonts w:cs="Cambria"/>
                <w:sz w:val="20"/>
                <w:szCs w:val="20"/>
                <w:lang w:val="en"/>
              </w:rPr>
            </w:pPr>
            <w:r w:rsidRPr="007059FA">
              <w:rPr>
                <w:rFonts w:cs="Cambria"/>
                <w:sz w:val="20"/>
                <w:szCs w:val="20"/>
                <w:lang w:val="en"/>
              </w:rPr>
              <w:t xml:space="preserve">Non-invasive urinary </w:t>
            </w:r>
            <w:proofErr w:type="spellStart"/>
            <w:r w:rsidRPr="007059FA">
              <w:rPr>
                <w:rFonts w:cs="Cambria"/>
                <w:sz w:val="20"/>
                <w:szCs w:val="20"/>
                <w:lang w:val="en"/>
              </w:rPr>
              <w:t>metabolomic</w:t>
            </w:r>
            <w:proofErr w:type="spellEnd"/>
            <w:r w:rsidRPr="007059FA">
              <w:rPr>
                <w:rFonts w:cs="Cambria"/>
                <w:sz w:val="20"/>
                <w:szCs w:val="20"/>
                <w:lang w:val="en"/>
              </w:rPr>
              <w:t xml:space="preserve"> profiling discriminates prostate cancer from benign prostatic hyperplasia</w:t>
            </w:r>
          </w:p>
        </w:tc>
        <w:tc>
          <w:tcPr>
            <w:tcW w:w="709" w:type="dxa"/>
          </w:tcPr>
          <w:p w14:paraId="45044831" w14:textId="544FA758" w:rsidR="006123F7" w:rsidRPr="007059FA" w:rsidRDefault="007059FA" w:rsidP="004D4F7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2017</w:t>
            </w:r>
          </w:p>
        </w:tc>
        <w:tc>
          <w:tcPr>
            <w:tcW w:w="2268" w:type="dxa"/>
          </w:tcPr>
          <w:p w14:paraId="50524F9A" w14:textId="0ED3BC01" w:rsidR="006123F7" w:rsidRPr="007059FA" w:rsidRDefault="007059FA" w:rsidP="004D4F78">
            <w:pPr>
              <w:autoSpaceDE w:val="0"/>
              <w:autoSpaceDN w:val="0"/>
              <w:adjustRightInd w:val="0"/>
              <w:rPr>
                <w:rFonts w:cs="Cambria"/>
                <w:sz w:val="20"/>
                <w:szCs w:val="20"/>
                <w:lang w:val="en-US"/>
              </w:rPr>
            </w:pPr>
            <w:r>
              <w:rPr>
                <w:rFonts w:cs="Cambria"/>
                <w:sz w:val="20"/>
                <w:szCs w:val="20"/>
                <w:lang w:val="en-US"/>
              </w:rPr>
              <w:t>Metabolomics</w:t>
            </w:r>
          </w:p>
        </w:tc>
        <w:tc>
          <w:tcPr>
            <w:tcW w:w="1276" w:type="dxa"/>
          </w:tcPr>
          <w:p w14:paraId="00C49939" w14:textId="6BE02E74" w:rsidR="006123F7" w:rsidRPr="007059FA" w:rsidRDefault="007059FA" w:rsidP="00F1037E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3,661</w:t>
            </w:r>
          </w:p>
        </w:tc>
      </w:tr>
      <w:bookmarkEnd w:id="0"/>
    </w:tbl>
    <w:p w14:paraId="5A6F0E5A" w14:textId="77777777" w:rsidR="009B4823" w:rsidRPr="007059FA" w:rsidRDefault="009B4823">
      <w:pPr>
        <w:rPr>
          <w:lang w:val="en-US"/>
        </w:rPr>
      </w:pPr>
    </w:p>
    <w:sectPr w:rsidR="009B4823" w:rsidRPr="007059FA" w:rsidSect="00E82530">
      <w:pgSz w:w="16840" w:h="11900" w:orient="landscape"/>
      <w:pgMar w:top="1701" w:right="1417" w:bottom="1701" w:left="1417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mbri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D921CD"/>
    <w:multiLevelType w:val="multilevel"/>
    <w:tmpl w:val="F704E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530"/>
    <w:rsid w:val="000D4059"/>
    <w:rsid w:val="00333DCD"/>
    <w:rsid w:val="006123F7"/>
    <w:rsid w:val="00703F29"/>
    <w:rsid w:val="007059FA"/>
    <w:rsid w:val="009B4823"/>
    <w:rsid w:val="009D1873"/>
    <w:rsid w:val="00A76869"/>
    <w:rsid w:val="00E82530"/>
    <w:rsid w:val="00F1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669E3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2530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2530"/>
    <w:rPr>
      <w:sz w:val="22"/>
      <w:szCs w:val="22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8253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1135</Words>
  <Characters>6245</Characters>
  <Application>Microsoft Macintosh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Instituto Valenciano de Oncología</Company>
  <LinksUpToDate>false</LinksUpToDate>
  <CharactersWithSpaces>7366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Antonio López-Guerrero</dc:creator>
  <cp:keywords/>
  <dc:description/>
  <cp:lastModifiedBy>José Antonio López-Guerrero</cp:lastModifiedBy>
  <cp:revision>3</cp:revision>
  <dcterms:created xsi:type="dcterms:W3CDTF">2017-05-28T06:02:00Z</dcterms:created>
  <dcterms:modified xsi:type="dcterms:W3CDTF">2017-05-28T06:23:00Z</dcterms:modified>
</cp:coreProperties>
</file>